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Commissions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-430530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-859155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-1150620</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277" w:lineRule="auto"/>
        <w:tabs>
          <w:tab w:leader="none" w:pos="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-438785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-730885</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4,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IS HEREBY GIVEN, that the 2018 Annual Meeting of Shareholders of Microbot Medical Inc. (the “Company”) will be held at 11:00 A.M., Eastern Time on September 4, 2018 at the Company’s office located at 25 Recreation Park Drive, Unit 108, Hingham, MA 02043. At the Annual Meeting, you will be asked to vote on:</w:t>
      </w:r>
    </w:p>
    <w:p>
      <w:pPr>
        <w:spacing w:after="0" w:line="18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two Class III directors to the Board of Directors of the Company to serve until the 2021 Annual Meeting of Shareholders;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2018;</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to effect a reverse stock split, at a ratio of not less than one-for-five (1:5) and not greater than one-for-twenty (1:20), of the common stock of the Company (the “Reverse Split”), which will be determined by the Board of Directors in its sole discretion; and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fixed the close of business on July 13, 2018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July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4, 2018</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and the accompanying proxy card is furnished in connection with the solicitation by the Board of Directors (the “Board”) of Microbot Medical Inc., a Delaware corporation (the “Company”), of proxies for use at the 2018 Annual Meeting of Shareholders (the “Annual Meeting”) to be held at the Company’s office located at 25 Recreation Park Drive, Unit 108, Hingham, MA 02043 at 11:00 A.M., Eastern Time, on September 4, 2018, or at any adjournment or postponement thereof, for the purposes set forth in this proxy statement and the accompanying Notice of Annual Meeting of Shareholders. This proxy statement and the accompanying proxy card is first being mailed on or about July 27, 2018 to all Shareholders of the Company entitled to vote at the Annual Meeting (the “Shareholders”).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will bear the cost of solicitation of proxies. Directors, officers and employees of the Company may solicit proxies by telephone, email, facsimile, in person or otherwise for no additional compensation. The Company has retained Morrow Sodali LLC to act as a proxy solicitor in conjunction with the annual stockholders meeting at an estimated cost of $10,000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fixed the close of business on July 13, 2018, as the record date for determining stockholders entitled to notice of, and to vote at, the Annual Meeting or at any postponement or adjournment thereof. There were 43,720,427 shares of our common stock, $.01 par value, outstanding on July 13, 2018, each of which is entitled to one vote for each share on the matters to be voted upon.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are being asked to vote on three proposals at the Company’s 2018 Annual Meeting. The proposals to be voted on and related recommendations from the Board of Directors are as follows:</w:t>
      </w:r>
    </w:p>
    <w:p>
      <w:pPr>
        <w:spacing w:after="0" w:line="17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6"/>
          <w:szCs w:val="16"/>
          <w:color w:val="auto"/>
        </w:rPr>
        <w:t>The election of two Class III directors to the Board of the Company to serve until the 2021 Annual Meeting of Shareholders.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Board recommends that you vote “FOR” each of the nominees.</w:t>
      </w:r>
    </w:p>
    <w:p>
      <w:pPr>
        <w:spacing w:after="0" w:line="211" w:lineRule="exact"/>
        <w:rPr>
          <w:sz w:val="20"/>
          <w:szCs w:val="20"/>
          <w:color w:val="auto"/>
        </w:rPr>
      </w:pPr>
    </w:p>
    <w:p>
      <w:pPr>
        <w:jc w:val="both"/>
        <w:ind w:left="2300" w:hanging="2281"/>
        <w:spacing w:after="0" w:line="264" w:lineRule="auto"/>
        <w:tabs>
          <w:tab w:leader="none" w:pos="228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2018. The Board recommends that you vote “FOR” this proposal.</w:t>
      </w:r>
    </w:p>
    <w:p>
      <w:pPr>
        <w:spacing w:after="0" w:line="181" w:lineRule="exact"/>
        <w:rPr>
          <w:sz w:val="20"/>
          <w:szCs w:val="20"/>
          <w:color w:val="auto"/>
        </w:rPr>
      </w:pPr>
    </w:p>
    <w:p>
      <w:pPr>
        <w:jc w:val="both"/>
        <w:ind w:left="2300" w:hanging="2281"/>
        <w:spacing w:after="0" w:line="286" w:lineRule="auto"/>
        <w:tabs>
          <w:tab w:leader="none" w:pos="2280" w:val="left"/>
        </w:tabs>
        <w:rPr>
          <w:sz w:val="20"/>
          <w:szCs w:val="20"/>
          <w:color w:val="auto"/>
        </w:rPr>
      </w:pPr>
      <w:r>
        <w:rPr>
          <w:rFonts w:ascii="Arial" w:cs="Arial" w:eastAsia="Arial" w:hAnsi="Arial"/>
          <w:sz w:val="18"/>
          <w:szCs w:val="18"/>
          <w:color w:val="auto"/>
        </w:rPr>
        <w:t>Proposal Number 3.</w:t>
      </w:r>
      <w:r>
        <w:rPr>
          <w:sz w:val="20"/>
          <w:szCs w:val="20"/>
          <w:color w:val="auto"/>
        </w:rPr>
        <w:tab/>
      </w:r>
      <w:r>
        <w:rPr>
          <w:rFonts w:ascii="Arial" w:cs="Arial" w:eastAsia="Arial" w:hAnsi="Arial"/>
          <w:sz w:val="17"/>
          <w:szCs w:val="17"/>
          <w:color w:val="auto"/>
        </w:rPr>
        <w:t>To approve an amendment to our certificate of incorporation to effect a reverse stock split, at a ratio of not less than one-for-five (1:5) and not greater than one-for-twenty (1:20), of the common stock of the Company (the “Reverse Split”), which will be determined by the Board in its sole discretion. The Board recommends that you vote “FOR” this proposal.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election of directors, which is Proposal Number 1, you may vote “FOR” both of the nominees or your vote may be “WITHHELD” with respect to one or both of the nominees. For Proposal Number 2 and Proposal Number 3, you may vote “FOR,” vote “AGAINST” or “ABSTAIN.” If you “ABSTAIN” as to Proposal Number 2, the abstention will have no effect. An abstention, a “broker non-vote,” or a failure to submit a proxy card or vote at the Annual Meeting with respect to Proposal Number 3 will have the same effect as voting “AGAINST” such proposal.</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5680" w:right="1460" w:hanging="5348"/>
        <w:spacing w:after="0" w:line="5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two Class III directors to the Board of the Company to serve until the 2021 Annual Meeting of Shareholders.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Reverse Split.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2018 Annual Meeting.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registered stockholders of the Company, meaning stockholders who hold the Company’s stock directly (not through a bank, broker, or other nominee) may cast their vote in any of the following ways: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Vote by Internet</w:t>
      </w:r>
      <w:r>
        <w:rPr>
          <w:rFonts w:ascii="Arial" w:cs="Arial" w:eastAsia="Arial" w:hAnsi="Arial"/>
          <w:sz w:val="17"/>
          <w:szCs w:val="17"/>
          <w:color w:val="auto"/>
        </w:rPr>
        <w:t>. Registered stockholders can vote over the Internet at www.envisionreports.com/MBOT by following the instructions on the proxy card.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Internet voting facilities for registered stockholders of record will be available 24 hours a day and will close at 10:00 a.m. (EDT) on September 4, 2018.</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Vote by Mail</w:t>
      </w:r>
      <w:r>
        <w:rPr>
          <w:rFonts w:ascii="Arial" w:cs="Arial" w:eastAsia="Arial" w:hAnsi="Arial"/>
          <w:sz w:val="17"/>
          <w:szCs w:val="17"/>
          <w:color w:val="auto"/>
        </w:rPr>
        <w:t>. Registered stockholders can vote by mail by signing, dating and mailing the enclosed proxy card in the postage-paid envelope provided. If the</w:t>
      </w:r>
      <w:r>
        <w:rPr>
          <w:rFonts w:ascii="Arial" w:cs="Arial" w:eastAsia="Arial" w:hAnsi="Arial"/>
          <w:sz w:val="17"/>
          <w:szCs w:val="17"/>
          <w:i w:val="1"/>
          <w:iCs w:val="1"/>
          <w:color w:val="auto"/>
        </w:rPr>
        <w:t xml:space="preserve"> </w:t>
      </w:r>
      <w:r>
        <w:rPr>
          <w:rFonts w:ascii="Arial" w:cs="Arial" w:eastAsia="Arial" w:hAnsi="Arial"/>
          <w:sz w:val="17"/>
          <w:szCs w:val="17"/>
          <w:color w:val="auto"/>
        </w:rPr>
        <w:t>envelope is missing, such a stockholder can mail the completed proxy card or voting instruction card to Proxy Services, c/o Computershare Investor Services, P.O. Box 505008, Louisville, KY 40233-9814. The completed card must be received no later than September 3,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Registered stockholders can vote by telephone by calling the phone number located on the top of your proxy card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You will need information from your proxy card to submit your proxy by telephone. Telephone voting facilities for registered stockholders of record will be available 24 hours a day and will close at 10:00 a.m. (EDT) on September 4,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beneficial stockholders of the Company, meaning stockholders who hold the Company’s stock in the name of a bank, broker, or other nominee (commonly referred to as holding shares in “street name”) may cast their vote in any of the following ways: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Vote by Internet</w:t>
      </w:r>
      <w:r>
        <w:rPr>
          <w:rFonts w:ascii="Arial" w:cs="Arial" w:eastAsia="Arial" w:hAnsi="Arial"/>
          <w:sz w:val="18"/>
          <w:szCs w:val="18"/>
          <w:color w:val="auto"/>
        </w:rPr>
        <w:t>. Beneficial stockholders can vote over the Internet at www.proxyvote.com by following the online instructions. Internet voting facilities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stockholders of record will be available 24 hours a day and will close at 10:00 a.m. (EDT) on September 4,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Beneficial stockholders can vote by mail by signing, dating and mailing the enclosed voting instruction form (“VIF”) in the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provided. The completed card must be received no later than September 3,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Beneficial stockholders can vote by telephone by calling the phone number located on the top of your VIF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Telephone voting facilities for beneficial stockholders of record will be available 24 hours a day and will close at 10:00 a.m. (EDT) on September 4,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This year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 Thus, if stockholders do not give their broker or nominee specific instructions, their shares may not be voted for the election of directors or the Reverse Split. Abstentions and broker non-votes will be counted as present for purposes of establishing a quorum.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2, the affirmative “FOR” vote is required by the holders of a majority of the shares present at the Annual Meeting in person or by proxy and voting. Abstentions will have no effect on the outcome of this proposal.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Proposal Number 3, the affirmative “FOR” vote is required by the holders of a majority of the shares outstanding and entitled to vote on the matter. An abstention, a “broker non-vote,” or a failure to submit a proxy card or vote at the Annual Meeting will have the same effect as voting “AGAINST” this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July 25, 2018,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25, 2018. We calculated percentage ownership in accordance with the rules of the SEC. The percentage of common stock beneficially owned is based on 43,720,427 shares outstanding as of July 25, 2018. In addition, shares issuable pursuant to options or other convertible securities that may be acquired within 60 days of July 25, 2018 are deemed to be issued and outstanding and have been treated as outstanding in calculating and determining the beneficial ownership and percentage ownership of those persons possessing those securities, but not for any other persons.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 Shares</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gridSpan w:val="2"/>
          </w:tcPr>
          <w:p>
            <w:pPr>
              <w:ind w:left="2860"/>
              <w:spacing w:after="0"/>
              <w:rPr>
                <w:sz w:val="20"/>
                <w:szCs w:val="20"/>
                <w:color w:val="auto"/>
              </w:rPr>
            </w:pPr>
            <w:r>
              <w:rPr>
                <w:rFonts w:ascii="Arial" w:cs="Arial" w:eastAsia="Arial" w:hAnsi="Arial"/>
                <w:sz w:val="18"/>
                <w:szCs w:val="18"/>
                <w:b w:val="1"/>
                <w:bCs w:val="1"/>
                <w:color w:val="auto"/>
              </w:rPr>
              <w:t>Beneficial Owner</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Beneficially Owned</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Harel Gadot(1)</w:t>
            </w:r>
          </w:p>
        </w:tc>
        <w:tc>
          <w:tcPr>
            <w:tcW w:w="1800" w:type="dxa"/>
            <w:vAlign w:val="bottom"/>
          </w:tcPr>
          <w:p>
            <w:pPr>
              <w:jc w:val="right"/>
              <w:spacing w:after="0"/>
              <w:rPr>
                <w:sz w:val="20"/>
                <w:szCs w:val="20"/>
                <w:color w:val="auto"/>
              </w:rPr>
            </w:pPr>
            <w:r>
              <w:rPr>
                <w:rFonts w:ascii="Arial" w:cs="Arial" w:eastAsia="Arial" w:hAnsi="Arial"/>
                <w:sz w:val="18"/>
                <w:szCs w:val="18"/>
                <w:color w:val="auto"/>
              </w:rPr>
              <w:t>4,255,034</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Yoseph Bornstein(3)</w:t>
            </w:r>
          </w:p>
        </w:tc>
        <w:tc>
          <w:tcPr>
            <w:tcW w:w="1800" w:type="dxa"/>
            <w:vAlign w:val="bottom"/>
          </w:tcPr>
          <w:p>
            <w:pPr>
              <w:jc w:val="right"/>
              <w:spacing w:after="0"/>
              <w:rPr>
                <w:sz w:val="20"/>
                <w:szCs w:val="20"/>
                <w:color w:val="auto"/>
              </w:rPr>
            </w:pPr>
            <w:r>
              <w:rPr>
                <w:rFonts w:ascii="Arial" w:cs="Arial" w:eastAsia="Arial" w:hAnsi="Arial"/>
                <w:sz w:val="18"/>
                <w:szCs w:val="18"/>
                <w:color w:val="auto"/>
              </w:rPr>
              <w:t>4,542,790</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Martin Madden(2)</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Ben Naim (2)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18,750</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Yehezkel (Hezi) Himelfarb</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353,479</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 (2)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(8 persons)(4)</w:t>
            </w:r>
          </w:p>
        </w:tc>
        <w:tc>
          <w:tcPr>
            <w:tcW w:w="1800" w:type="dxa"/>
            <w:vAlign w:val="bottom"/>
          </w:tcPr>
          <w:p>
            <w:pPr>
              <w:jc w:val="right"/>
              <w:spacing w:after="0"/>
              <w:rPr>
                <w:sz w:val="20"/>
                <w:szCs w:val="20"/>
                <w:color w:val="auto"/>
              </w:rPr>
            </w:pPr>
            <w:r>
              <w:rPr>
                <w:rFonts w:ascii="Arial" w:cs="Arial" w:eastAsia="Arial" w:hAnsi="Arial"/>
                <w:sz w:val="18"/>
                <w:szCs w:val="18"/>
                <w:color w:val="auto"/>
              </w:rPr>
              <w:t>9,219,577</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i w:val="1"/>
                <w:iCs w:val="1"/>
                <w:color w:val="auto"/>
              </w:rPr>
              <w:t>Five Percent Shareholders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LSA - Life Science Accelerator Ltd.(3)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4,542,790</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Technion Research and Development Foundation Ltd.(5)</w:t>
            </w:r>
          </w:p>
        </w:tc>
        <w:tc>
          <w:tcPr>
            <w:tcW w:w="1800" w:type="dxa"/>
            <w:vAlign w:val="bottom"/>
          </w:tcPr>
          <w:p>
            <w:pPr>
              <w:jc w:val="right"/>
              <w:spacing w:after="0"/>
              <w:rPr>
                <w:sz w:val="20"/>
                <w:szCs w:val="20"/>
                <w:color w:val="auto"/>
              </w:rPr>
            </w:pPr>
            <w:r>
              <w:rPr>
                <w:rFonts w:ascii="Arial" w:cs="Arial" w:eastAsia="Arial" w:hAnsi="Arial"/>
                <w:sz w:val="18"/>
                <w:szCs w:val="18"/>
                <w:color w:val="auto"/>
              </w:rPr>
              <w:t>3,555,339</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MEDX Ventures Group LLC(6)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3,820,664</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Saber Holding GmbH(7)</w:t>
            </w:r>
          </w:p>
        </w:tc>
        <w:tc>
          <w:tcPr>
            <w:tcW w:w="1800" w:type="dxa"/>
            <w:vAlign w:val="bottom"/>
          </w:tcPr>
          <w:p>
            <w:pPr>
              <w:jc w:val="right"/>
              <w:spacing w:after="0"/>
              <w:rPr>
                <w:sz w:val="20"/>
                <w:szCs w:val="20"/>
                <w:color w:val="auto"/>
              </w:rPr>
            </w:pPr>
            <w:r>
              <w:rPr>
                <w:rFonts w:ascii="Arial" w:cs="Arial" w:eastAsia="Arial" w:hAnsi="Arial"/>
                <w:sz w:val="18"/>
                <w:szCs w:val="18"/>
                <w:color w:val="auto"/>
              </w:rPr>
              <w:t>4,307,003</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Moshe Shoham(8)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2,678,231</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and 434,370 shares of the Company’s common stock issuable upon the exercise of options granted to Mr. Gadot. All of such shares and 1,167,960 options are held by MEDX Ventures Group LLC, which is beneficially owned by Mr. Gadot. See Note 6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options to acquire shares of the Company’s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12,381 shares of the Company’s common stock issuable upon exercise of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of the Company’s common stock issuable upon the exercise of options as set forth in footnotes (1), (2) and (3).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Technion Research and Development Foundation is Technion City, Malat Bldg., 5th Floor, Haifa, Israel 3200003.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434,370 shares of the Company’s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836,141 shares of the Company’s common stock issuable upon the exercise of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July 25,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Age</w:t>
            </w: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Operation Officer, General Manager and 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Yoav Waizer(2)(3)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Yoseph Bornstein(1)(3)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Scott Burell(1)(2)</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Martin Madden(1)(3)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Prattipati Laxminarain(2)</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III Directors are standing for election at our 2018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Yoav Waizer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Yehezkel (Hezi) Himelfarb</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 (term scheduled to expire in 2018, but nominated to stand for reelection at our 2018 Annual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 (term scheduled to expire in 2018, but nominated to stand for reelection at our 2018 Annual Meeting)</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independent members of our Board, as determined by the Board in accordance with the existing Nasdaq Listing rules, are Messrs. Waizer, Bornstein, Burell, Madden and Laxminarain. The Board held approximately 18 regular and special meetings during the fiscal year ended December 31, 2017 and acted by unanimous written consent three times. Each of our directors attended at least approximately 90% of such meetings of the Board. While we encourage our directors to attend the Company’s annual Shareholder meeting, we do not have a policy requiring that they do so. All of our directors attended the Company’s 2017 annual stockholder meeting, except for Mr. Laxminarain who was appointed to the Board subsequent to the 2017 annual stockholder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2017.</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is composed of Messrs. Waizer, Madden and Bornstein. Each of the members of the Compensation Committee is independent. The Compensation Committee acts pursuant to a written charter which is available through our website at www.microbotmedical.com. The Compensation Committee held three meetings during the fiscal year ended December 31, 2017 and acted by unanimous written consent one time.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2017.</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nominations of the Class III directors standing for election or reelection, as the case may be, at our 2018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 Israel</w:t>
      </w:r>
      <w:r>
        <w:rPr>
          <w:rFonts w:ascii="Arial" w:cs="Arial" w:eastAsia="Arial" w:hAnsi="Arial"/>
          <w:sz w:val="17"/>
          <w:szCs w:val="17"/>
          <w:i w:val="1"/>
          <w:iCs w:val="1"/>
          <w:color w:val="auto"/>
        </w:rPr>
        <w:t xml:space="preserve"> </w:t>
      </w:r>
      <w:r>
        <w:rPr>
          <w:rFonts w:ascii="Arial" w:cs="Arial" w:eastAsia="Arial" w:hAnsi="Arial"/>
          <w:sz w:val="17"/>
          <w:szCs w:val="17"/>
          <w:color w:val="auto"/>
        </w:rPr>
        <w:t>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Yehezkel (Hezi) Himelfarb</w:t>
      </w:r>
      <w:r>
        <w:rPr>
          <w:rFonts w:ascii="Arial" w:cs="Arial" w:eastAsia="Arial" w:hAnsi="Arial"/>
          <w:sz w:val="17"/>
          <w:szCs w:val="17"/>
          <w:color w:val="auto"/>
        </w:rPr>
        <w:t>, became the Company’s Chief Operating Officer and General Manager of the Company’s Israeli operations on December 5, 2016</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been a director of the Company since September 2017. Mr. Himelfarb was the Chief Executive Officer from 2008 through November 2016 and a member of the board of directors from 2008 through August 2016 of IceCure Medical Ltd., a Tel Aviv Stock Exchange listed company that develops advanced cryotherapy systems (cryoablation) intended for the growing physician-office market. Prior to that, from 1999 to 2008, Mr. Himelfarb was the President, Chief Executive Officer and a member of the board of directors of Remon Medical Technologies, Inc., a venture backed US/Israeli company that developed and commercialized smart, miniature implants which enabled physicians to assess and treat a variety of medical conditions, where he, among other things, led its acquisition by Boston Scientific. From 1996 to 1999, he was the Vice President and Chief Operating Officer of Medtronic-InStent (Israel), which was part of Medtronic’s vascular division. From 1982 to 1996, Mr. Himelfarb had various positions at Scitex Corporation Ltd., which was an Israeli-based company specializing in specialty equipment production. Mr. Himelfarb holds a B.Sc. in Electronic Engineering and an M.B.A. in Marketing and Engineering Management, both from Tel Aviv University. The Company believes that Mr. Himelfarb is qualified to serve as a director of the Company due to his extensive experience managing medical device companies.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is a Partner and Chief Executive Officer of Medica Venture Partners, a healthcare dedicated venture investing out of Israel in innovative capital-starved early stage and special situation companies, since November 2005. Prior to his Tenure at Medica, Mr. Waizer served as CFO &amp; COO at Cedar Fund, a venture capital fund focuses on investing in Israel-related high-tech companies and prior to that Mr. Waizer was the CFO of Star Ventures Israel, the Israeli fund of Star Ventures, a $1 billion venture capital fund investing in all stages of development within the Telecom, Enterprise S/W, Wireless and Life Sciences sectors. Mr. Waizer is currently a director of InterCure Ltd., a company focused on investing in medical technology companies that is traded on the Tel Aviv Stock Exchange, Yeda Research &amp; Development Co. Ltd., the technology transfer arm of the Weizmann Institute of Science, and XACT Robotics Ltd., a private Israeli company developing novel platform robotic technology for use in minimally invasive procedures. Mr. Waizer is also the CFO on a part-time basis of MEDX Xelerator L.P., a medical device and digital health Israeli incubator.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87"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August 2007.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From November 2006 until its sale to Invitae Corp. in November 2017, he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also a Board member and Audit Committee Chairman of AgEagle Aerial Systems, Inc. (NYSE: UAVS), a publicly-traded agricultural drone company based in Kansas, and is a Board member of Collplant Holdings, Ltd. (Nasdaq: CLGN), an Israeli -based publicly traded biotechnology company focused on regenerative medicine.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holds an MBA from Indian Institute of Management, Calcutta, India and a Bachelor of Engineering from Osmania University, Hyderabad, India. The Company believes that Mr. Laxminarain is qualified as a Board member of the Company because of his extensive experience working with medical device companies and knowledge of the industries in which the Company intends to compete.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Following are the name, age and other information for our named executive officers, as of July 25, 2018. All company officers have been appointed to serve until their successors are elected and qualified or until their earlier resignation or removal. Information regarding Harel Gadot, our Chairman, President and Chief Executive Officer, and Yehezkel (Hezi) Himelfarb, our General Manager and Chief Operating Officer, is set forth above under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Age</w:t>
            </w: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7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David Ben Naim</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Manager and Chief Operating Officer</w:t>
            </w: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David Ben Naim</w:t>
      </w:r>
      <w:r>
        <w:rPr>
          <w:rFonts w:ascii="Arial" w:cs="Arial" w:eastAsia="Arial" w:hAnsi="Arial"/>
          <w:sz w:val="16"/>
          <w:szCs w:val="16"/>
          <w:color w:val="auto"/>
        </w:rPr>
        <w:t>, became the Company’s part-time Chief Financial Officer following the consummation of the Merger. Mr. Ben Naim is the general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and Tempramed Inc., a private medical device company.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2017, all Section 16(a) filing requirements applicable to our officers, directors and greater than 10% beneficial owners have been met, with the exception of Mr. Madden who failed to timely file his Form 3, Mr. Bornstein who failed to timely file 4 reports showing 7 transactions, and Professor Moshe Shoham who failed to timely file one report showing 15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Non-Equity</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Incentive Plan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Salary</w:t>
            </w: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Awards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 and Principal Position</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120" w:type="dxa"/>
            <w:vAlign w:val="bottom"/>
          </w:tcPr>
          <w:p>
            <w:pPr>
              <w:spacing w:after="0"/>
              <w:rPr>
                <w:sz w:val="20"/>
                <w:szCs w:val="20"/>
                <w:color w:val="auto"/>
              </w:rPr>
            </w:pPr>
          </w:p>
        </w:tc>
        <w:tc>
          <w:tcPr>
            <w:tcW w:w="12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Harel Gadot(1)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158,000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156,219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Chief Executive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275,000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Hezi Himelfarb(3)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Chief Operating</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228,653(5)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40,625</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92,205</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 &amp; General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David Ben Naim(4)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66,000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6"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Gadot’s compensation prior to the Merger on November 28, 2016 was paid pursuant to a consulting agreement with MEDX Ventures Group LLC, of which Mr. Gadot is the Chief Executive Officer, Company Group Chairman and majority equity owner. All Other Compensation includes Mr. Gadot’s monthly automobile allowance and tax gross-up.</w:t>
      </w:r>
    </w:p>
    <w:p>
      <w:pPr>
        <w:jc w:val="both"/>
        <w:ind w:left="340" w:hanging="332"/>
        <w:spacing w:after="0" w:line="265"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Himelfarb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Ben Naim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Option Awards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Stock Awards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Incentive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Market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or</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or</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Unexercised</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That Have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That Have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gridSpan w:val="2"/>
          </w:tcPr>
          <w:p>
            <w:pPr>
              <w:ind w:left="800"/>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Unexercisable</w:t>
            </w: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Not Vested</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Not Vested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Harel Gadot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1,167,693</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9/01/2024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1,812,712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9/14/2027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Hezi Himelfarb</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10/15/2027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12/28/2027</w:t>
            </w:r>
          </w:p>
        </w:tc>
        <w:tc>
          <w:tcPr>
            <w:tcW w:w="10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572"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On March 9, 2017, the Company adopted a 2017 bonus plan (the “Bonus Plan”). The Bonus Plan provided for the payment of Mr. Gadot’s bonus based on certain milestones of the Company being satisfied, as follows:</w:t>
      </w:r>
    </w:p>
    <w:p>
      <w:pPr>
        <w:spacing w:after="0" w:line="181"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having closed a financing of at least $10 million by the end of the third quarter of 2017, at which time 20% of the bonus would be payable.</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ind w:left="340" w:right="2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bonus plan for 2018 has not yet been adopted by the Company. 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 subsequent to the Effective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$211,624 per annum based on an exchange rate of $.28 for NIS 1.0. The salary will be reviewed on an annual basis by the Company’s Board of Directors to determine potential salary increases.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 On March 9, 2017, the Company adopted the Bonus Plan. The Bonus Plan provided for the payment of Mr. Himelfarb’s bonus of up to 25% of his base salary based on certain milestones of the Company being satisfied, as follows:</w:t>
      </w:r>
    </w:p>
    <w:p>
      <w:pPr>
        <w:spacing w:after="0" w:line="181"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having closed a financing of at least $10 million by the end of the third quarter of 2017, at which time 20% of the bonus would be payable.</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ind w:left="340" w:right="2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bonus plan for 2018 has not yet been adopted by the Company. Mr. Himelfarb shall also entitled participate in the Company’s motor vehicle program and receive a motor vehicle from the Company’s vehicle pool, which shall be leased or rented by the Company for use by Mr. Himelfarb.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 Such options have not yet been granted.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$6,110 per month based on an exchange rate of $.28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Fees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Nonqualified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earned or</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Non-Equity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paid in</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Incentive Plan</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All 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14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cash</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Yoav Waizer</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50,602</w:t>
            </w:r>
          </w:p>
        </w:tc>
        <w:tc>
          <w:tcPr>
            <w:tcW w:w="680" w:type="dxa"/>
            <w:vAlign w:val="bottom"/>
            <w:shd w:val="clear" w:color="auto" w:fill="CCEEFF"/>
          </w:tcPr>
          <w:p>
            <w:pPr>
              <w:jc w:val="right"/>
              <w:ind w:right="51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$ 101,430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Moshe Shoham (3)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33,333</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Solomon Mayer</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20,500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Scott Burell</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53,062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Martin Madden</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27,270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Laxminarain Prattipati</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69"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director fee paid to Mr. Waizer for director services in 2016 to Microbot Medical Ltd.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consulting fees paid to Professor Shoham. Professor Shoham resigned from the Board as of December 6, 2017.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Messrs. Gadot and Himelfarb received compensation for their services to the Company as set forth under the summary compensation table above.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2011, Microbot Israel entered into a consulting agreement with MEDX Ventures Group LLC, of which Mr. Gadot is the Chief Executive Officer, Company Group Chairman and majority equity owner (the “Gadot Consulting Agreement”), pursuant to which Mr. Gadot served as Microbot Israel’s Chief Executive Officer. Under the terms of the Gadot Consulting Agreement, MEDX Ventures Group received a monthly fee of $17,000, which amount was to increase to $25,000 per month upon the consummation of a merger or other similar transaction. Under the Gadot Consulting Agreement, MEDX Ventures Group and Mr. Gadot was subject to customary non-competition, non-solicitation, confidentiality and intellectual property ownership provisions. In addition, MEDX Ventures Group was entitled to receive reimbursement for all direct expenses in connection with the performance of services under the Gadot Consulting Agreement. Either Microbot or MEDX Ventures Group was entitled to terminate the Gadot Consulting Agreement upon 60 days’ written notice. MEDX Ventures Group LLC is a stockholder of Microbot. As a result of the Merger, the Gadot Consulting Agreement was terminated in November 2016 and was replaced with an employment agreement between the Company and Mr. Gadot.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Microbot Israel issued convertible promissory notes, at an interest rate of 10%, in the aggregate principal amount of $411,500 (the “2015 Notes”) to certain investors and Microbot Israel shareholders. The 2015 Notes matured on July 8, 2016. The principal and accrued but unpaid interest on the 2015 Notes converted into 452,650 shares of Series A Preferred Stock of Microbot Israel and warrants to purchase 409,750 shares of Series A Preferred Stock of Microbot Israel. The table below sets forth the 2015 Notes with aggregate principal in excess of $120,000 that were purchased by Microbot’s directors, executive officers and holders of more than 5% of its capital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Outstanding Principal</w:t>
            </w:r>
          </w:p>
        </w:tc>
      </w:tr>
      <w:tr>
        <w:trPr>
          <w:trHeight w:val="241"/>
        </w:trPr>
        <w:tc>
          <w:tcPr>
            <w:tcW w:w="9160" w:type="dxa"/>
            <w:vAlign w:val="bottom"/>
          </w:tcPr>
          <w:p>
            <w:pPr>
              <w:spacing w:after="0"/>
              <w:rPr>
                <w:sz w:val="20"/>
                <w:szCs w:val="20"/>
                <w:color w:val="auto"/>
              </w:rPr>
            </w:pPr>
            <w:r>
              <w:rPr>
                <w:rFonts w:ascii="Arial" w:cs="Arial" w:eastAsia="Arial" w:hAnsi="Arial"/>
                <w:sz w:val="18"/>
                <w:szCs w:val="18"/>
                <w:b w:val="1"/>
                <w:bCs w:val="1"/>
                <w:color w:val="auto"/>
              </w:rPr>
              <w:t>Name of 2015 Bridge Note Holder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Purchased in 2015</w:t>
            </w:r>
          </w:p>
        </w:tc>
      </w:tr>
      <w:tr>
        <w:trPr>
          <w:trHeight w:val="216"/>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Saber Holding GmbH</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Leon Lewkowicz</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2016, Microbot Israel issued convertible promissory notes, at an annual interest rate of 10%, in the aggregate principal amount of $750,000 (the “2016 Notes”) to certain investors and Microbot Israel shareholders. The principal and accrued but unpaid interest on the 2016 Notes converted, at a 20% discount, into common stock upon the consummation of the Merger. The table below sets forth the 2016 Notes with aggregate principal in excess of $120,000 that were purchased by Microbot Israel’s directors, executive officers and holders of more than 5% of its capital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Outstanding Principal</w:t>
            </w:r>
          </w:p>
        </w:tc>
      </w:tr>
      <w:tr>
        <w:trPr>
          <w:trHeight w:val="241"/>
        </w:trPr>
        <w:tc>
          <w:tcPr>
            <w:tcW w:w="9160" w:type="dxa"/>
            <w:vAlign w:val="bottom"/>
          </w:tcPr>
          <w:p>
            <w:pPr>
              <w:spacing w:after="0"/>
              <w:rPr>
                <w:sz w:val="20"/>
                <w:szCs w:val="20"/>
                <w:color w:val="auto"/>
              </w:rPr>
            </w:pPr>
            <w:r>
              <w:rPr>
                <w:rFonts w:ascii="Arial" w:cs="Arial" w:eastAsia="Arial" w:hAnsi="Arial"/>
                <w:sz w:val="18"/>
                <w:szCs w:val="18"/>
                <w:b w:val="1"/>
                <w:bCs w:val="1"/>
                <w:color w:val="auto"/>
              </w:rPr>
              <w:t>Name of 2016 Bridge Note Holder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Purchased in 2016</w:t>
            </w:r>
          </w:p>
        </w:tc>
      </w:tr>
      <w:tr>
        <w:trPr>
          <w:trHeight w:val="216"/>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Saber Holding GmbH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Leon Lewkowicz</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Israel entered into a license agreement with Technion Research and Development Foundation Ltd., or TRDF, in 2012 pursuant to which Microbot Israel obtained an exclusive, worldwide, royalty-bearing, sub-licensable license to certain patents and inventions relating to the SCS and TipCAT technology platforms. TRDF is a founding member of Microbot and current beneficially owns approximately 14.5% of Microbot’s ordinary shares on an as converted basis.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August 15, 2016, Microbot Israel and Alpha Capital Anstalt (“Alpha Capital”), a shareholder of Microbot Israel at that time, entered into an agreement pursuant to which, among other things, Alpha Capital agreed to fund a proposed $4 million private placement, which obligation would be reduced dollar-for-dollar by any third party investors investing in such private placement. This agreement was superseded by the Letter Agreement referred to below.</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entered into a letter agreement (the “Letter Agreement”) with Alpha Capital, dated November 18, 2016 but effective November 28, 2016 pursuant to which Alpha Capital committed to make a cash investment into the Company, no later than December 31, 2016, in an amount equal to the difference between $4 million and the amount of cash released to the Company, by December 31, 2016, out of escrow pursuant to the Company’s asset sale transaction with BOCO Silicon Valley, Inc., a California corporation. The Company waived Alpha Capital’s commitments under the Letter Agreement.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15, 2016, concurrently with the execution of the Merger Agreement, the Company (then named and operated as StemCells, Inc.) issued a 5.0% secured note (the “Secured Note”) to Alpha Capital, in the principal amount of $2 million, payable upon the earlier of (i) 30 days following the consummation of the Merger and (ii) December 31, 2016. In addition, on August 15, 2016, the Company and Alpha Capital entered into a Security Agreement to secure the Company’s obligations under the Secured Note (the “Security Agreement”). The Company’s obligations under the Secured Note were secured by a first priority security interest in all of the Company’s intellectual property and certain other general assets. As of November 28, 2016, upon the closing of the Merger, the Company entered into a Securities Exchange Agreement (the “Exchange Agreement”) with Alpha Capital, providing for the issuance to Alpha Capital of a convertible promissory note by the Company (the “Convertible Note”) in a principal amount of $2,028,767, which is equal to the principal and accrued interest under the Secured Note, in exchange for (a) the full satisfaction, termination and cancellation of the Secured Note and (b) the release and termination of the Security Agreement and the first priority security interest granted thereunder. Pursuant to the terms of the Convertible Note upon issuance, the Convertible Note is convertible into the Company’s common stock any time after November 28, 2017 until the maturity date of November 28, 2019, based on a conversion price of $0.64, subject to adjustments as provided in the Convertible Note and the other terms and the conditions specified in the Convertible Note. Pursuant to the terms of the Note, the Company is obligated to pay interest on the outstanding principal amount owed under the Note at a fixed rate per annum of 6.0%, payable at maturity or earlier conversion.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16, 2016, the Company entered into a Securities Exchange Agreement with Alpha Capital, pursuant to which Alpha exchanged approximately 9,735,925 shares or rights to acquire shares of the common stock of the Company held by it, for approximately 9,736 shares of a newly designated class of Series A Convertible Preferred Stock, par value $0.01 per share. The common stock and common stock underlying the rights include all of the shares of common stock issued or issuable to Alpha Capital pursuant to the Merger. The closing of the exchange was effective as of December 27,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selected the independent accounting firm of Brightman Almagor Zohar &amp; Co., a Member of Deloitte Touche Tohmatsu Limited (“Deloitte”) to audit the accounts of the Company for the year ending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The Audit Committee considered the tax compliance services provided by Deloitte and concluded that provision of such services is compatible with maintaining the independence of the independent accountants, and approved the provision by Deloitte of tax compliance services with respect to the year ending December 31, 2017.</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2017 and 2016,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12/31/17</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12/31/16</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35,000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Audit-Related Fees</w:t>
            </w:r>
          </w:p>
        </w:tc>
        <w:tc>
          <w:tcPr>
            <w:tcW w:w="12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All Other Fees</w:t>
            </w:r>
          </w:p>
        </w:tc>
        <w:tc>
          <w:tcPr>
            <w:tcW w:w="12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Audit fees represents fees for the integrated audit of our annual consolidated financial statements and reviews of the interim consolidated financial statements, and review of audit-related SEC filings; also includes fees related to issuing comfort letter(s). Also includes tax filing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2015 and through November 28, 2016, Microbot Israel did not have a standing audit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2017,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2017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Concerning Independence </w:t>
      </w:r>
      <w:r>
        <w:rPr>
          <w:rFonts w:ascii="Arial" w:cs="Arial" w:eastAsia="Arial" w:hAnsi="Arial"/>
          <w:sz w:val="17"/>
          <w:szCs w:val="17"/>
          <w:color w:val="auto"/>
        </w:rPr>
        <w:t>(Rule 3526), and has discussed with Deloitte its independence.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2017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1: NOMINEES FOR ELECTION OF CLASS II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instructed, the enclosed proxy will be voted to elect the nominees named below, each of whom is now a Class III director, as Class III directors for a term of three years expiring at the 2021 Annual Meeting of Shareholders and until their successors are duly elected and qualified. Both Class</w:t>
      </w:r>
    </w:p>
    <w:p>
      <w:pPr>
        <w:jc w:val="both"/>
        <w:ind w:firstLine="8"/>
        <w:spacing w:after="0" w:line="254" w:lineRule="auto"/>
        <w:tabs>
          <w:tab w:leader="none" w:pos="2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Yoseph Bornstein</w:t>
      </w:r>
      <w:r>
        <w:rPr>
          <w:rFonts w:ascii="Arial" w:cs="Arial" w:eastAsia="Arial" w:hAnsi="Arial"/>
          <w:sz w:val="18"/>
          <w:szCs w:val="18"/>
          <w:color w:val="auto"/>
        </w:rPr>
        <w:t xml:space="preserve"> and </w:t>
      </w:r>
      <w:r>
        <w:rPr>
          <w:rFonts w:ascii="Arial" w:cs="Arial" w:eastAsia="Arial" w:hAnsi="Arial"/>
          <w:sz w:val="18"/>
          <w:szCs w:val="18"/>
          <w:b w:val="1"/>
          <w:bCs w:val="1"/>
          <w:color w:val="auto"/>
        </w:rPr>
        <w:t>Prattipati Laxminarain</w:t>
      </w:r>
      <w:r>
        <w:rPr>
          <w:rFonts w:ascii="Arial" w:cs="Arial" w:eastAsia="Arial" w:hAnsi="Arial"/>
          <w:sz w:val="18"/>
          <w:szCs w:val="18"/>
          <w:color w:val="auto"/>
        </w:rPr>
        <w:t xml:space="preserve"> for election as the Company’s Class III directors to serve as Class III Directors until the 2021 Annual Meeting of Shareholders.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TWO NOMINEES DESCRIBED ABOVE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2018. The affirmative vote of the holders of a majority of the shares represented and voting at the Annual Meeting will be required to ratify the selection of Deloitte or its U.S. affiliate.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2018.</w:t>
      </w:r>
    </w:p>
    <w:p>
      <w:pPr>
        <w:spacing w:after="0" w:line="390"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PROPOSAL 3: APPROVAL OF AMENDMENT TO THE COMPANY’S RESTATED CERTIFICATE OF INCORPORATION TO EFFECT A REVERSE STOCK SPLIT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has adopted a resolution declaring advisable and recommending to the stockholders for their approval a proposal to amend the Company’s restated certificate of incorporation, as amended to date, to effect a reverse stock split of the Company’s issued and outstanding common stock at any whole number ratio of not less than one-for-five (1:5) and not greater than one-for-twenty (1:20) (the “Reverse Split”). Approval of this Proposal Number 3 would grant our Board the authority, without further action by the stockholders, to carry out the Reverse Split, at any time within three months after the date stockholder approval for the Reverse Split is obtained from our stockholders, with the exact exchange ratio and timing of the Reverse Split (if at all) to be determined at our Board’s discretion. Our primary reason for seeking to effect the Reverse Split is that the Reverse Split is the most effective means of increasing the per-share market price of our common stock in order to maintain our listing on the Nasdaq Capital Market.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Our Board’s decision whether or not (and when) to effect a Reverse Split (and at what whole number ratio to effect the Reverse Split) will be based on a number of factors, including market conditions, existing and anticipated trading prices for our common stock and the continued listing requirements of the NASDAQ Capital Market.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sample form of the certificate of amendment relating to this Proposal Number 3, which we would complete and file with the Secretary of State of the State of Delaware to carry out the Reverse Split, is attached to this proxy statement as Schedule A (the “Amendment”). Stockholders are encouraged to review this carefully as it would modify the capitalization of the Company upon its effectiveness.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explained below, we are asking our stockholders to approve this Proposal Number 3 because we believe a Reverse Split would result in a higher price per share for the outstanding shares of our common stock, which we require to satisfy the continued listing requirements of the NASDAQ Capital Market to maintain a minimum bid price of $1.00 per share for our common stock, and make our stock more marketable to investors and promote greater liquidity for our stockholders. In addition, as explained below, the Reverse Split, if approved by our stockholders and implemented by our Board, would result in an effective increase in the number of authorized shares of common stock available to us for future issuance to fund our continued operations and to grow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to Expect from a Reverse Stock Split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approved by our stockholders, the Reverse Split would be implemented simultaneously for all of our then-outstanding common stock (the “Old Shares”) and the exchange ratio would be the same for all of our issued and outstanding shares of common stock. The Reverse Split would affect all of our stockholders uniformly and would not affect any stockholder’s percentage ownership interests in the Company, except to the extent that the Reverse Split results in any of our stockholders owning a fractional share, because fractional shares would be rounded up to the nearest whole share. Shares of common stock issued pursuant to the Reverse Split (the “New Shares”) would remain fully paid and nonassessable. The Reverse Split would not affect our continuing to be subject to the periodic reporting requirements of the Securities Exchange Act of 1934, as amended. Upon becoming effective, the Reverse Split would automatically convert outstanding Old Shares into a smaller fraction of New Shares, depending upon which conversion ratio our Board may select. Outstanding derivative securities, such as options and warrants, exercisable for, or convertible into, our common stock would be proportionally adjusted, as would the exercise and conversion prices of those derivative securities.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in the following table summarizes the possible effect of the Reverse Stock Split based upon our issued and outstanding equity, as of July 25,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Warrants,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Post-Split Common</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Option and Preferred</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Authorized</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Common Stock</w:t>
            </w: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 Stock</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but Unissued and</w:t>
            </w:r>
          </w:p>
        </w:tc>
      </w:tr>
      <w:tr>
        <w:trPr>
          <w:trHeight w:val="216"/>
        </w:trPr>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Split Ratio for</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reserved after the</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Authorized after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Unreserved after</w:t>
            </w:r>
          </w:p>
        </w:tc>
      </w:tr>
      <w:tr>
        <w:trPr>
          <w:trHeight w:val="216"/>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Issued and</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after the Reverse</w:t>
            </w: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Reverse</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the Reverse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Reverse</w:t>
            </w:r>
          </w:p>
        </w:tc>
      </w:tr>
      <w:tr>
        <w:trPr>
          <w:trHeight w:val="241"/>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 Shares</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Split (1)</w:t>
            </w: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Split (1)</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Split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Split (2)</w:t>
            </w:r>
          </w:p>
        </w:tc>
      </w:tr>
      <w:tr>
        <w:trPr>
          <w:trHeight w:val="216"/>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for 5</w:t>
            </w:r>
          </w:p>
        </w:tc>
        <w:tc>
          <w:tcPr>
            <w:tcW w:w="2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8,744,085</w:t>
            </w:r>
          </w:p>
        </w:tc>
        <w:tc>
          <w:tcPr>
            <w:tcW w:w="3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1,761,473</w:t>
            </w:r>
          </w:p>
        </w:tc>
        <w:tc>
          <w:tcPr>
            <w:tcW w:w="3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209,494,442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10</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4,372,042</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880,736</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214,747,222</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15</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2,914,695</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587,157</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216,498,148</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20</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2,186,021</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440,368</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217,373,611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July 25, 2018, we had the following issued and outstanding equity: (i) 43,720,427 shares of common stock; (ii) option awards to acquire up to 6,224,478 shares of common stock; and (iii) warrants to acquire up to 118,887 shares of common stock. Furthermore, as of July 25, 2018, we had outstanding 2,464 shares of our preferred stock, which convert at a ratio of 1,000 shares of common stock for every one share of preferred stock converted. Upon the Reverse Split, the number of shares of common stock issuable upon conversion shall be proportionately adjusted in proportion to the number of shares of common stock outstanding immediately before the Reverse Split and the number of shares of common stock outstanding immediately after the Reverse Split.</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actual number of shares of common stock available after the Reverse Split may be higher or lower depending on the number of fractional shares that are rounded up in the Reverse Split and as the result of rounding calculations for outstanding equity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As of July 25, 2018, the Company had approximately 167,472,208 authorized, but unissued and available and unreserved, shares of Common Stock. Consequently, the Reverse Split would have the important effect of increasing the number of authorized and available shares of Common Stock to approximately 209,494,442 shares (at the 1 for 5 ratio) and 217,373,611 shares (at the 1 for 20 ratio).</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all other things being equal, a reverse stock split by a publicly traded company reduces the number of shares outstanding but leaves the market capitalization of the Company the same, which should increase the price per share of the Company’s stock. Put another way, after a reverse stock split, the enterprise value of the Company is spread over fewer shares and so the per share price of the stock should be commensurately higher. As an example, a hypothetical company with a market value of $12.5 million and 50 million shares outstanding would have a trading price of $0.25 per share ($12.5 million divided by 50 million), while the same company with only 1.25 million shares outstanding would have a trading price of $10.00 per share ($12.5 million divided by 1.25 million). We can therefore anticipate, but can give no assurance, that the Reverse Split would proportionately increase the per share trading price of our outstanding common stock by an amount approximately equal to the inverse of the ratio selected by the Board (for example, an increase of 10 times current trading price for a one-for-ten Reverse Split).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a Reverse Stock Split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previously disclosed in a Current Report on Form 8-K filed on March 28, 2018, on March 22, 2018, the Listing Qualifications Staff (the “Staff”) of The NASDAQ Stock Market notified the Company that, based upon the closing bid price of the Company’s common stock for the 30 prior consecutive business days, the Company no longer satisfied the minimum $1.00 closing bid price requirement, as set forth in Nasdaq Listing Rule 5550(a)(2), and had been provided a 180-day grace period to regain compliance with that requirement, through September 18, 2018.</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Board is asking the stockholders to grant it the authority, at its discretion, to effect the Reverse Split, which the Board believes is an effective way to increase the minimum bid price of our common stock proportionately and put us in a position to regain compliance with Nasdaq Listing Rule 5550(a)(2).</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maintaining the listing of the Company’s common stock on Nasdaq is in the best interests of the Company and its stockholders. The Board believes that the delisting of the Company’s common stock from Nasdaq would impair our ability to raise additional funds and would result in decreased liquidity and/or increased volatility in our common stock, among other things. See “Certain Risks Associated with the Reverse Stock Split” below for more information.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expect that the Reverse Split will result in an increase in the market price of our common stock, the Reverse Split may not result in a permanent increase in the market price of our common stock, which is dependent on many factors, including general economic, market and industry conditions and other factors detailed from time to time in the reports we file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Advantages of a Reverse Stock Split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Approval of this Proposal Number 3 would permit the company’s Board of Directors, in its discretion, to file the Amendment with the Delaware Secretary of State in order to effect the Reverse Split. This, we believe, could provide a number of potential advantages, which we describe below.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i w:val="1"/>
          <w:iCs w:val="1"/>
          <w:color w:val="auto"/>
        </w:rPr>
        <w:t xml:space="preserve">Potential Advantage #1- Effective Increase in Authorized Shares. </w:t>
      </w:r>
      <w:r>
        <w:rPr>
          <w:rFonts w:ascii="Arial" w:cs="Arial" w:eastAsia="Arial" w:hAnsi="Arial"/>
          <w:sz w:val="17"/>
          <w:szCs w:val="17"/>
          <w:color w:val="auto"/>
        </w:rPr>
        <w:t>Because the Reverse Split would decrease the number of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and the number of shares reserved for outstanding derivative securities, such as warrants and options, without changing the Company’s authorized capital in any way, there would be a greater proportion of shares available for issuance following the Reverse Split, as set forth above.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Reverse Split would not have any immediate effect on the proportionate voting power or other rights of our existing stockholders. However, upon issuance, any additional shares of authorized common stock issued would have rights identical to our currently outstanding shares of common stock. To the extent that the additional authorized shares of capital stock are issued in the future, they may decrease the voting rights of existing stockholders and, depending on the price at which they are issued, could be economically dilutive to existing stockholders and have a negative effect on the market price of the common stock. Current stockholders have no preemptive or similar rights, which means that current stockholders do not have a prior right to purchase any new issue of capital stock in order to maintain their proportionate ownership of the Company. We could also use the additional shares of capital stock for potential strategic transactions including, among other things, acquisitions, strategic partnerships, joint ventures, restructurings, business combinations, and investments, although we have no definitive present plans to do so. We cannot provide assurances that any such transactions will be consummated on favorable terms or at all, that they will enhance stockholder value or that they will not adversely affect our business or the trading price of our stock. However, we believe the effective increase in the Company’s authorized capital will be important to preserving the Company’s ability to opportunistically acquire assets and technologies to grow our business; a vote against this proposal could therefore hurt our ability to grow our business and complete our existing product development efforts.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unaware of any specific effort to obtain control of the Company, and has no present intention of using the proposed effective increase in the number of authorized shares of common stock as an anti-takeover device. However, our authorized, but unissued, capital stock could be used to make an attempt to effect a change in control more difficult.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Potential Advantage #2- Maintain NASDAQ Capital Market Listing. </w:t>
      </w:r>
      <w:r>
        <w:rPr>
          <w:rFonts w:ascii="Arial" w:cs="Arial" w:eastAsia="Arial" w:hAnsi="Arial"/>
          <w:sz w:val="16"/>
          <w:szCs w:val="16"/>
          <w:color w:val="auto"/>
        </w:rPr>
        <w:t>We believe that having our common stock delisted from the NASDAQ Capital Market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undesirable for our stockholders and potentially bad for our business. Among other things, being delisted could reduce the liquidity of our common stock. We also deem valuable our ticker symbol, which is easily recognized as “MBOT” and which we could lose if we were delisted by the NASDAQ Capital Market. Also, being listed on the NASDAQ Capital Market carries with it certain prestige, and we feel it improves the recognition of our Company.</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no assurances can be given, our Board believes that the Reverse Split, at a whole number exchange ratio ranging from one-for-five to one-for-ten, should result in an increase in the Company’s price per share, and thereby help the company meet the $1.00 per share minimum bid price requirement.</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Company’s stock price could trade above $1.00 on its own accord over the next few months, our Board believes that it is in the Company’s best interests and in the interests of our stockholders to seek approval of the proposed Amendment to effect the Reverse Split, so that we can regain compliance even if the Company’s stock trading price does not increase above $1.00 per share by September 18, 2018, the end of our second 180-day compliance period. Even if our common stock’s closing bid price were to satisfy the minimum closing bid price requirements prior to approval of this Proposal Number 3, we may still effect the Amendment if our stockholders approve this Proposal and our Board determines that effecting the Reverse Split would be in the best interests of the Company and its stockholders.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Potential Advantage #3- Facilitate Potential Future Financings. </w:t>
      </w:r>
      <w:r>
        <w:rPr>
          <w:rFonts w:ascii="Arial" w:cs="Arial" w:eastAsia="Arial" w:hAnsi="Arial"/>
          <w:sz w:val="17"/>
          <w:szCs w:val="17"/>
          <w:color w:val="auto"/>
        </w:rPr>
        <w:t>By preserving our NASDAQ Capital Market listing, we can continue to consider and pursue</w:t>
      </w:r>
      <w:r>
        <w:rPr>
          <w:rFonts w:ascii="Arial" w:cs="Arial" w:eastAsia="Arial" w:hAnsi="Arial"/>
          <w:sz w:val="17"/>
          <w:szCs w:val="17"/>
          <w:i w:val="1"/>
          <w:iCs w:val="1"/>
          <w:color w:val="auto"/>
        </w:rPr>
        <w:t xml:space="preserve"> </w:t>
      </w:r>
      <w:r>
        <w:rPr>
          <w:rFonts w:ascii="Arial" w:cs="Arial" w:eastAsia="Arial" w:hAnsi="Arial"/>
          <w:sz w:val="17"/>
          <w:szCs w:val="17"/>
          <w:color w:val="auto"/>
        </w:rPr>
        <w:t>a wide range of future financing options to support our ongoing business. We believe being listed on a national securities exchange, such as the NASDAQ Capital Market, is valued highly by many investors such as large institutions. A listing on a national securities exchange also has the potential to create better liquidity and reduce volatility for buying and selling shares of our stock, which benefits our current and future stockholders.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Potential Advantage #4- Increase Our Common Stock Price to a Level More Appealing for Investors</w:t>
      </w:r>
      <w:r>
        <w:rPr>
          <w:rFonts w:ascii="Arial" w:cs="Arial" w:eastAsia="Arial" w:hAnsi="Arial"/>
          <w:sz w:val="16"/>
          <w:szCs w:val="16"/>
          <w:color w:val="auto"/>
        </w:rPr>
        <w:t>. We believe that the Reverse Split could enhance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appeal of our common stock to the financial community, including institutional investors, and the general investing public. We believe that a number of institutional investors and investment funds are reluctant to invest in lower priced securities and that brokerage firms may be reluctant to recommend lower priced stock to their clients, which may be due in part to a perception that lower-priced securities are less promising as investments, are less liquid in the event that an investor wishes to sell his, her or its shares, or are less likely to be followed by institutional securities research firms. We believe that the reduction in the number of issued and outstanding shares of our common stock caused by the Reverse Split, together with the anticipated increased stock price immediately following and resulting from the Reverse Split, may encourage further interest and trading in our common stock and thus possibly promote greater liquidity for our stockholders, thereby resulting in a broader market for our common stock than that which currently exists.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Certain Risks Associated with the Reverse Stock Split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believe the proposed Reverse Split is critically important to our Company and its stockholders, the Reverse Stock does carry with it several significant risks.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assure you, for example, that the market price per share of our common stock after the Reverse Split will rise or remain constant in proportion to the reduction in the number of shares of common stock outstanding before the Reverse Split. For example, using the closing price of our common stock on July 25, 2018 of $0.6191 per share as an example, if our Board were to implement the Reverse Split at a one-for-ten ratio, we cannot assure you that the post-split market price of our common stock would be or would remain at a price of ten times greater than $0.6191, or $6.191 ($0.6191 x 10). There can be no assurance that the minimum bid price per share of our common stock would remain in excess of $1.00 following the Reverse Split for a sustained period of time, or long enough to satisfy Nasdaq’s continued listing requirements. If it appears to the Nasdaq staff that we will not be able to comply with Nasdaq Listing Rule 5550(a)(2), or if we do not meet the minimum stockholders’ equity or any other listing standard, our common stock may be subject to delisting. If our common stock is delisted, our common stock would likely trade only in the over-the-counter market. If our common stock were to trade on the over-the-counter market, selling our common stock could be more difficult because smaller quantities of shares would likely be bought and sold, transactions could be delayed, and security analysts’ coverage of us may be reduced, or eliminated. In addition, in the event our common stock is delisted, broker-dealers have certain regulatory burdens imposed upon them, which may discourage them from effecting transactions in our common stock, further limiting the liquidity thereof. These factors could result in lower prices and larger spreads in the bid and ask prices for our common stock and would substantially impair our ability to raise additional funds and could result in a loss of institutional investor interest and fewer development opportunities for us.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price of our common stock will also be based on our performance and other factors, most of which are unrelated to the number of shares outstanding. If the Reverse Split is effected and the market price of our common stock declines, the percentage decline as an absolute number and as a percentage of our overall market capitalization may be greater than would occur in the absence of a Reverse Split. Furthermore, the liquidity of our common stock could be adversely affected by the reduced number of shares that would be outstanding after the Reverse Split.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Because the number of authorized shares of the Company’s common stock will not be reduced proportionately, the Reverse Split will increase the Board’s ability to issue authorized and unissued shares without further stockholder action. Without taking into account the impact of the proposed Reverse Split, the Company already has a substantial number of authorized but unissued shares of stock, the issuance of which would be dilutive to our existing stockholders and may cause a decline in the trading price of our common stock, With respect to authorized but unissued and unreserved shares, the Company could also use such shares to oppose a hostile takeover attempt or delay or prevent changes in control or changes in or removal of management.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Reverse Split may increase the number of stockholders who own odd lots (less than 100 shares). Any stockholder who owns fewer than 500 to 2,000 shares of common stock, depending on the final ratio, prior to the Reverse Split will own fewer than 100 shares of common stock following the Reverse Split. Stockholders who hold odd lots typically experience an increase in the cost of selling their shares and may have greater difficulty in effecting sales. Furthermore, some stockholders may cease being stockholders of the Company following the Reverse Split. Any stockholder who owns fewer than 5 to 20 shares of common stock, depending on the final ratio, prior to the Reverse Split will own less than one share of common stock following the Reverse Split and therefore such stockholder will receive cash equal to the market value of such fractional share and cease being a stockholder of the Company, as further described below under “–Procedure for Effecting the Reverse Stock Split and Exchange of Stock Certificates”.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Certain Risks Associated with Not Adopting the Reverse Stock Split Charter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Failure to carry out the Reverse Stock Split also carries several significant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Delisting. </w:t>
      </w:r>
      <w:r>
        <w:rPr>
          <w:rFonts w:ascii="Arial" w:cs="Arial" w:eastAsia="Arial" w:hAnsi="Arial"/>
          <w:sz w:val="18"/>
          <w:szCs w:val="18"/>
          <w:color w:val="auto"/>
        </w:rPr>
        <w:t>If our stockholders do not approve the Reserve Split, the Company could be delisted from the NASDAQ Capital Market, thereby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decreasing the liquidity of our stock and hurting or stock’s market price and discouraging future investments in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this Proposal Number 3 is approved by our stockholders, we would file the Amendment with the Delaware Secretary of State at such time as our Board has determined the appropriate effective time for the Reverse Split. Our Board may delay effecting the Amendment without resoliciting stockholder approval to any time within three months after the date stockholder approval is obtained (if at all). The Amendment would become effective on the date the Amendment is filed with the Delaware Secretary of State (the “Reverse Split Effective Date”). Beginning on the Reverse Split Effective Date, each certificate representing Old Shares would be deemed for all corporate purposes to evidence ownership of New Shares.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soon as practicable after the Reverse Split Effective Date, stockholders would be notified that the Reverse Split has been effected. Holders of Old Shares may then surrender certificates representing Old Shares in exchange for certificates representing New Shares in accordance with the procedures required by our transfer agent. Any Old Shares submitted for transfer, whether pursuant to a sale or other disposition, or otherwise, would automatically be exchanged for New Shares. STOCKHOLDERS SHOULD NOT DESTROY ANY STOCK CERTIFICATES AND SHOULD NOT SUBMIT ANY CERTIFICATES UNTIL NOTIFIED OF THE REVERSE SPLIT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fractional shares would be issued in connection with the Reverse Split. Stockholders of record who otherwise would be entitled to receive fractional shares, would be entitled to rounding up of their fractional share to the nearest whole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Convertible Shares, Options, Warrants and Other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outstanding options, warrants and other securities entitling their holders to purchase or acquire shares of our common stock would be adjusted as a result of the Reverse Split, as required by the terms of each security. In particular, the conversion ratio for each security would be reduced proportionately, and the exercise price, if applicable, would be increased proportionately, in accordance with the terms of each security and based on the exchange ratio implemented in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 is not expected to affect the common stock capital account on our balance sheet. As of the Reverse Split Effective Date, the stated capital on our balance sheet attributable to our common stock is expected to be reduced proportionately based on the selected exchange ratio, and the additional paid-in capital account is expected to be credited with the amount by which the stated capital is reduced. In future financial statements, we would restate net income or loss per share and other per share amounts for periods ending before the Reverse Split to give retroactive effect to the Reverse Split. The per share net income or loss and net book value of our common stock would be increased because there would be fewer shares of our common stock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 of the Board of Directors to Abandon 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reserves the right to abandon the Amendment without further action by our stockholders at any time before the effectiveness of the filing with the Delaware Secretary of State of the certificate of amendment to the Company’s Restated Certificate of Incorporation, even if the Reverse Split has been authorized by our stockholders at the Annual Meeting. By voting in favor of the Reverse Split, you are expressly also authorizing our Board to determine not to proceed with, and abandon, the Reverse Split, if it should so decide.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Delaware law, the Company’s Restated Certificate of Incorporation, nor the Company’s amended and restated by-laws provides for appraisal or other similar rights for dissenting stockholders in connection with this proposal. Accordingly, the Company’s stockholders will have no right to dissent and obtain payment for their shares, and we will not independently provide stockholders with any such right.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of certain U.S. federal income tax consequences to the Company’s stockholders of the Reverse Split, if effected, does not purport to be a complete discussion of all of the possible U.S. federal income tax consequences and is included for general information only, is not intended as tax advice to any person and is not a comprehensive description of the tax consequences that may be relevant to each shareholder’s own particular circumstances. The discussion is based on the Internal Revenue Code of 1986, as amended (the “Code”), applicable Treasury Regulations promulgated thereunder, judicial authority and current administrative rulings and practices as in effect on the date of this proxy statement. Changes to the laws could alter the tax consequences described below, possibly with retroactive effect. The Company has not sought and will not seek an opinion of counsel or a ruling from the Internal Revenue Service regarding the U.S. federal income tax consequences of the reverse stock split.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discussion addresses the U.S. federal income tax consequences only to a stockholder that is (i) a citizen or individual resident of the United States, (ii) a corporation organized in or under the laws of the United States or any state thereof or the District of Columbia or otherwise subject to U.S. federal income taxation on a net income basis in respect of our common stock, (iii) a trust if (1) a U.S. court is able to exercise primary supervision over administration of such trust and one or more U.S. persons have the authority to control all substantial decisions of the trust or (2) it has a valid election in place to be treated as a U.S. person, or (iv) an estate whose income is subject to U.S. federal income taxation regardless of its source. This discussion addresses only those shareholders who hold their pre-reverse stock split shares as “capital assets” as defined in the Code (generally, property held for investment), and will hold the shares received in the Reverse Split as capital assets. Further, it does not address any state, local, foreign or other income tax consequences, nor does it address the tax consequences to shareholders that are subject to special tax rules, such as, without limitation, shareholders who are subject to the alternative minimum tax, banks, insurance companies, regulated investment companies, personal holding companies, shareholders who are not “United States persons” as defined in Section 7701(a)(30) of the Code, U.S. persons whose functional currency is not the U.S. dollar, broker-dealers, tax-exempt entities, or S corporations, partnerships or other entities or arrangements treated as partnerships for U.S. federal income tax purposes (or investors therein). If an entity or arrangement treated as a partnership for U.S. federal income tax purposes holds pre-reverse stock split shares of our stock, the U.S. federal income tax treatment of a partner of the partnership will depend on the status of the partner and the activities of the partnership and upon certain determinations made at the partnership level. Partners in partnerships holding our common stock are urged to consult their own tax advisors about the U.S. federal income tax consequences of the reverse stock split.</w:t>
      </w:r>
    </w:p>
    <w:p>
      <w:pPr>
        <w:spacing w:after="0" w:line="17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Stockholders are advised to consult their own tax advisers regarding the U.S. federal income tax consequences of the Reverse Split in light of their personal circumstances and the consequences under state, local and foreign tax laws, and also as to any estate or gift tax considerations.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Pursuant to 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 or loss will be recognized by a stockholder upon such stockholder’s exchange of pre-reverse stock split shares for post-reverse stock split shares pursuant to the Reverse Split, except to the extent of cash, if any, received in lieu of fractional shares, further described in “Cash in Lieu of Fractional Shares” below. The aggregate tax basis of the post-reverse stock split shares received in the Reverse Split, including any fractional share deemed to have been received, will be equal to the aggregate tax basis of the pre-reverse stock split shares exchanged therefor, and the holding period of the post-reverse stock split shares will include the holding period of the pre-reverse stock split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not recognize any gain or loss as a result of the reverse stock split.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Necessary to Approve Proposal 3; Directors’ Recommendation</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 xml:space="preserve">Approval of this Reverse Split Proposal requires the affirmative vote of the holders of a majority of the shares of Common Stock outstanding and entitled to vote on the matter, either in person or by proxy, at the meeting. </w:t>
      </w:r>
      <w:r>
        <w:rPr>
          <w:rFonts w:ascii="Arial" w:cs="Arial" w:eastAsia="Arial" w:hAnsi="Arial"/>
          <w:sz w:val="16"/>
          <w:szCs w:val="16"/>
          <w:b w:val="1"/>
          <w:bCs w:val="1"/>
          <w:color w:val="auto"/>
        </w:rPr>
        <w:t>THE BOARD UNANIMOUSLY RECOMMENDS THAT YOU VOTE “FOR” THIS</w:t>
      </w:r>
    </w:p>
    <w:p>
      <w:pPr>
        <w:jc w:val="both"/>
        <w:spacing w:after="0" w:line="261" w:lineRule="auto"/>
        <w:rPr>
          <w:sz w:val="20"/>
          <w:szCs w:val="20"/>
          <w:color w:val="auto"/>
        </w:rPr>
      </w:pPr>
      <w:r>
        <w:rPr>
          <w:rFonts w:ascii="Arial" w:cs="Arial" w:eastAsia="Arial" w:hAnsi="Arial"/>
          <w:sz w:val="18"/>
          <w:szCs w:val="18"/>
          <w:b w:val="1"/>
          <w:bCs w:val="1"/>
          <w:color w:val="auto"/>
        </w:rPr>
        <w:t>PROPOSAL 3 TO APPROVE THE AMENDMENT TO THE COMPANY’S RESTATED CERTIFICATE OF INCORPORATION TO EFFECT A REVERSE STOCK SPLIT</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2019 Annual Meeting of Shareholders may do so by following the procedures prescribed in Rule 14a-8 under the Exchange Act. To be eligible, the Shareholder proposals must be received by our corporate secretary on or before May 7, 2019.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2019 Annual Meeting of Shareholders, other than one that will be included in our proxy materials, must notify us no later than July 21, 2019 (see Rule 14a-4 under the Exchange Act). If a Shareholder who wishes to present a proposal at the 2019 Annual Meeting of Shareholders fails to notify us by July 21, 2019, the proxies that management solicits for the meeting will confer discretionary authority to vote on the Shareholder’s proposal if it is properly brought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2019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or on our website at www.microbotmedical.com.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Annual Report on Form 10-K for the fiscal year ended December 31, 2017,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 (781) 875-3605. In addition, copies of both documents may be obtained from our website (</w:t>
      </w:r>
      <w:r>
        <w:rPr>
          <w:rFonts w:ascii="Arial" w:cs="Arial" w:eastAsia="Arial" w:hAnsi="Arial"/>
          <w:sz w:val="16"/>
          <w:szCs w:val="16"/>
          <w:u w:val="single" w:color="auto"/>
          <w:color w:val="auto"/>
        </w:rPr>
        <w:t>www.microbotmedical.com</w:t>
      </w:r>
      <w:r>
        <w:rPr>
          <w:rFonts w:ascii="Arial" w:cs="Arial" w:eastAsia="Arial" w:hAnsi="Arial"/>
          <w:sz w:val="16"/>
          <w:szCs w:val="16"/>
          <w:color w:val="auto"/>
        </w:rPr>
        <w:t>, click on the button “Investors” and then “Presentations and Resources”). You may also request information from Morrow Sodali LLC, our proxy solicitor, at the following address and telephone number: Morrow Sodali LLC, 470 West Avenue, Stamford, CT 06902; Stockholders Call Toll Free: 800-662-5200; Microbot-info@morrowsodali.com. If you want to receive separate copies of the proxy statement or the annual report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627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7572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upperLetter"/>
      <w:start w:val="24"/>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
      <w:numFmt w:val="bullet"/>
      <w:start w:val="1"/>
    </w:lvl>
    <w:lvl w:ilvl="1">
      <w:lvlJc w:val="left"/>
      <w:lvlText w:val="(%2)"/>
      <w:numFmt w:val="decimal"/>
      <w:start w:val="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upperLetter"/>
      <w:start w:val="6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2019-12-05T23:00:43Z</dcterms:created>
  <dcterms:modified xsi:type="dcterms:W3CDTF">2019-12-05T23:00:43Z</dcterms:modified>
</cp:coreProperties>
</file>