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60"/>
        <w:spacing w:after="0"/>
        <w:rPr>
          <w:sz w:val="20"/>
          <w:szCs w:val="20"/>
          <w:color w:val="auto"/>
        </w:rPr>
      </w:pPr>
      <w:r>
        <w:rPr>
          <w:rFonts w:ascii="Courier New" w:cs="Courier New" w:eastAsia="Courier New" w:hAnsi="Courier New"/>
          <w:sz w:val="18"/>
          <w:szCs w:val="18"/>
          <w:color w:val="auto"/>
        </w:rPr>
        <w:t>-----------------------------</w:t>
      </w:r>
    </w:p>
    <w:p>
      <w:pPr>
        <w:jc w:val="center"/>
        <w:ind w:left="1860"/>
        <w:spacing w:after="0" w:line="238" w:lineRule="auto"/>
        <w:rPr>
          <w:sz w:val="20"/>
          <w:szCs w:val="20"/>
          <w:color w:val="auto"/>
        </w:rPr>
      </w:pPr>
      <w:r>
        <w:rPr>
          <w:rFonts w:ascii="Courier New" w:cs="Courier New" w:eastAsia="Courier New" w:hAnsi="Courier New"/>
          <w:sz w:val="18"/>
          <w:szCs w:val="18"/>
          <w:color w:val="auto"/>
        </w:rPr>
        <w:t>OMB APPROVAL</w:t>
      </w:r>
    </w:p>
    <w:p>
      <w:pPr>
        <w:ind w:left="5700"/>
        <w:spacing w:after="0"/>
        <w:rPr>
          <w:sz w:val="20"/>
          <w:szCs w:val="20"/>
          <w:color w:val="auto"/>
        </w:rPr>
      </w:pPr>
      <w:r>
        <w:rPr>
          <w:rFonts w:ascii="Courier New" w:cs="Courier New" w:eastAsia="Courier New" w:hAnsi="Courier New"/>
          <w:sz w:val="18"/>
          <w:szCs w:val="18"/>
          <w:color w:val="auto"/>
        </w:rPr>
        <w:t>------------------</w:t>
      </w:r>
    </w:p>
    <w:p>
      <w:pPr>
        <w:jc w:val="center"/>
        <w:ind w:left="1860"/>
        <w:spacing w:after="0"/>
        <w:tabs>
          <w:tab w:leader="none" w:pos="20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280"/>
        <w:spacing w:after="0" w:line="238" w:lineRule="auto"/>
        <w:rPr>
          <w:sz w:val="20"/>
          <w:szCs w:val="20"/>
          <w:color w:val="auto"/>
        </w:rPr>
      </w:pPr>
      <w:r>
        <w:rPr>
          <w:rFonts w:ascii="Courier New" w:cs="Courier New" w:eastAsia="Courier New" w:hAnsi="Courier New"/>
          <w:sz w:val="18"/>
          <w:szCs w:val="18"/>
          <w:color w:val="auto"/>
        </w:rPr>
        <w:t>Expires: November 30, 2002</w:t>
      </w:r>
    </w:p>
    <w:p>
      <w:pPr>
        <w:ind w:left="5280"/>
        <w:spacing w:after="0"/>
        <w:rPr>
          <w:sz w:val="20"/>
          <w:szCs w:val="20"/>
          <w:color w:val="auto"/>
        </w:rPr>
      </w:pPr>
      <w:r>
        <w:rPr>
          <w:rFonts w:ascii="Courier New" w:cs="Courier New" w:eastAsia="Courier New" w:hAnsi="Courier New"/>
          <w:sz w:val="18"/>
          <w:szCs w:val="18"/>
          <w:color w:val="auto"/>
        </w:rPr>
        <w:t>Estimated average burden</w:t>
      </w:r>
    </w:p>
    <w:p>
      <w:pPr>
        <w:ind w:left="5280"/>
        <w:spacing w:after="0" w:line="237" w:lineRule="auto"/>
        <w:rPr>
          <w:sz w:val="20"/>
          <w:szCs w:val="20"/>
          <w:color w:val="auto"/>
        </w:rPr>
      </w:pPr>
      <w:r>
        <w:rPr>
          <w:rFonts w:ascii="Courier New" w:cs="Courier New" w:eastAsia="Courier New" w:hAnsi="Courier New"/>
          <w:sz w:val="18"/>
          <w:szCs w:val="18"/>
          <w:color w:val="auto"/>
        </w:rPr>
        <w:t>hours per response...14.90</w:t>
      </w:r>
    </w:p>
    <w:p>
      <w:pPr>
        <w:spacing w:after="0" w:line="202"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 $.01</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85857R105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October 28,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4" w:lineRule="exact"/>
        <w:rPr>
          <w:sz w:val="24"/>
          <w:szCs w:val="24"/>
          <w:color w:val="auto"/>
        </w:rPr>
      </w:pPr>
    </w:p>
    <w:p>
      <w:pPr>
        <w:jc w:val="both"/>
        <w:ind w:left="1900" w:right="6419" w:firstLine="4"/>
        <w:spacing w:after="0" w:line="290" w:lineRule="auto"/>
        <w:tabs>
          <w:tab w:leader="none" w:pos="24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8 pages</w:t>
      </w:r>
    </w:p>
    <w:p>
      <w:pPr>
        <w:sectPr>
          <w:pgSz w:w="11900" w:h="16838" w:orient="portrait"/>
          <w:cols w:equalWidth="0" w:num="1">
            <w:col w:w="10219"/>
          </w:cols>
          <w:pgMar w:left="240" w:top="85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85857R105</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8020" w:hanging="427"/>
        <w:spacing w:after="0" w:line="238" w:lineRule="auto"/>
        <w:tabs>
          <w:tab w:leader="none" w:pos="8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020" w:hanging="427"/>
        <w:spacing w:after="0" w:line="238" w:lineRule="auto"/>
        <w:tabs>
          <w:tab w:leader="none" w:pos="8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54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520" w:type="dxa"/>
            <w:vAlign w:val="bottom"/>
          </w:tcPr>
          <w:p>
            <w:pPr>
              <w:jc w:val="right"/>
              <w:ind w:right="541"/>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SHARES</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520" w:type="dxa"/>
            <w:vAlign w:val="bottom"/>
          </w:tcPr>
          <w:p>
            <w:pPr>
              <w:jc w:val="right"/>
              <w:ind w:right="541"/>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645,765</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PERSON</w:t>
            </w:r>
          </w:p>
        </w:tc>
        <w:tc>
          <w:tcPr>
            <w:tcW w:w="1520" w:type="dxa"/>
            <w:vAlign w:val="bottom"/>
          </w:tcPr>
          <w:p>
            <w:pPr>
              <w:jc w:val="right"/>
              <w:ind w:right="541"/>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060" w:right="4619" w:hanging="734"/>
        <w:spacing w:after="0" w:line="235" w:lineRule="auto"/>
        <w:tabs>
          <w:tab w:leader="none" w:pos="3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645,765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645,765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10</w:t>
            </w:r>
          </w:p>
        </w:tc>
        <w:tc>
          <w:tcPr>
            <w:tcW w:w="728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IF THE AGGREGATE AMOUNT IN ROW (9) EXCLUDES CERTAIN SHARES</w:t>
            </w:r>
          </w:p>
        </w:tc>
        <w:tc>
          <w:tcPr>
            <w:tcW w:w="4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(SEE INSTRUCTIONS)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CO</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8 pages</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20" w:type="dxa"/>
            <w:vAlign w:val="bottom"/>
          </w:tcPr>
          <w:p>
            <w:pPr>
              <w:ind w:left="460"/>
              <w:spacing w:after="0"/>
              <w:rPr>
                <w:sz w:val="20"/>
                <w:szCs w:val="20"/>
                <w:color w:val="auto"/>
              </w:rPr>
            </w:pPr>
            <w:r>
              <w:rPr>
                <w:rFonts w:ascii="Courier New" w:cs="Courier New" w:eastAsia="Courier New" w:hAnsi="Courier New"/>
                <w:sz w:val="18"/>
                <w:szCs w:val="18"/>
                <w:color w:val="auto"/>
                <w:w w:val="96"/>
              </w:rPr>
              <w:t>85857R105</w:t>
            </w: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ind w:left="960" w:right="303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J. EZRA MERKIN</w:t>
      </w:r>
    </w:p>
    <w:p>
      <w:pPr>
        <w:spacing w:after="0" w:line="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8020" w:hanging="427"/>
        <w:spacing w:after="0" w:line="238" w:lineRule="auto"/>
        <w:tabs>
          <w:tab w:leader="none" w:pos="80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427"/>
        <w:spacing w:after="0" w:line="238" w:lineRule="auto"/>
        <w:tabs>
          <w:tab w:leader="none" w:pos="80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54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520" w:type="dxa"/>
            <w:vAlign w:val="bottom"/>
          </w:tcPr>
          <w:p>
            <w:pPr>
              <w:jc w:val="right"/>
              <w:ind w:right="541"/>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645,765</w:t>
            </w:r>
          </w:p>
        </w:tc>
      </w:tr>
      <w:tr>
        <w:trPr>
          <w:trHeight w:val="203"/>
        </w:trPr>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SHARES</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520" w:type="dxa"/>
            <w:vAlign w:val="bottom"/>
          </w:tcPr>
          <w:p>
            <w:pPr>
              <w:jc w:val="right"/>
              <w:ind w:right="541"/>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5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645,765</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38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PERSON</w:t>
            </w:r>
          </w:p>
        </w:tc>
        <w:tc>
          <w:tcPr>
            <w:tcW w:w="1520" w:type="dxa"/>
            <w:vAlign w:val="bottom"/>
          </w:tcPr>
          <w:p>
            <w:pPr>
              <w:jc w:val="right"/>
              <w:ind w:right="541"/>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152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060" w:right="4619" w:hanging="734"/>
        <w:spacing w:after="0" w:line="235" w:lineRule="auto"/>
        <w:tabs>
          <w:tab w:leader="none" w:pos="3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1,291,530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1,291,530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10</w:t>
            </w:r>
          </w:p>
        </w:tc>
        <w:tc>
          <w:tcPr>
            <w:tcW w:w="7280" w:type="dxa"/>
            <w:vAlign w:val="bottom"/>
          </w:tcPr>
          <w:p>
            <w:pPr>
              <w:ind w:left="380"/>
              <w:spacing w:after="0"/>
              <w:rPr>
                <w:sz w:val="20"/>
                <w:szCs w:val="20"/>
                <w:color w:val="auto"/>
              </w:rPr>
            </w:pPr>
            <w:r>
              <w:rPr>
                <w:rFonts w:ascii="Courier New" w:cs="Courier New" w:eastAsia="Courier New" w:hAnsi="Courier New"/>
                <w:sz w:val="18"/>
                <w:szCs w:val="18"/>
                <w:color w:val="auto"/>
                <w:w w:val="99"/>
              </w:rPr>
              <w:t>CHECK IF THE AGGREGATE AMOUNT IN ROW (9) EXCLUDES CERTAIN SHARES</w:t>
            </w:r>
          </w:p>
        </w:tc>
        <w:tc>
          <w:tcPr>
            <w:tcW w:w="4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(SEE INSTRUCTIONS)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IN</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2520" w:val="left"/>
          <w:tab w:leader="none" w:pos="3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3160" w:hanging="624"/>
        <w:spacing w:after="0"/>
        <w:tabs>
          <w:tab w:leader="none" w:pos="3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31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3115 Porter Drive Palo Alto, CA 94304</w:t>
      </w:r>
    </w:p>
    <w:p>
      <w:pPr>
        <w:spacing w:after="0" w:line="208" w:lineRule="exact"/>
        <w:rPr>
          <w:sz w:val="20"/>
          <w:szCs w:val="20"/>
          <w:color w:val="auto"/>
        </w:rPr>
      </w:pPr>
    </w:p>
    <w:p>
      <w:pPr>
        <w:ind w:left="2540" w:right="2099" w:hanging="2527"/>
        <w:spacing w:after="0" w:line="290" w:lineRule="auto"/>
        <w:tabs>
          <w:tab w:leader="none" w:pos="25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(a)(b)(c) Name of Person Filing; Address of Principal Business Office or, if none, Residence; Citizenship:</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Schedule 13G is being filed jointly by Gabriel Capital Corporation, a Delaware corporation ("Gabriel Capital") and the Investment Advisor of Ariel Fund Limited, a Cayman Islands corporation ("Ariel Fund"), and J. Ezra Merkin ("Merkin"), the General Partner of Gabriel Capital L.P., a Delaware limited partnership ("Gabriel"). Merkin is also the sole shareholder, sole director and president of Gabriel Capital. Gabriel Capital and Merkin are hereinafter sometimes referred to collectively as the "Reporting Persons." The business address of each of Gabriel, Gabriel Capital and Merkin is 450 Park Avenue, New York, New York 10022 and the business address of Ariel Fund is c/o Maples &amp; Calder, P.O. Box 309, Grand Cayman, Cayman Islands, British West Indies. Merkin is a United States Citizen.</w:t>
      </w:r>
    </w:p>
    <w:p>
      <w:pPr>
        <w:spacing w:after="0" w:line="216" w:lineRule="exact"/>
        <w:rPr>
          <w:sz w:val="20"/>
          <w:szCs w:val="20"/>
          <w:color w:val="auto"/>
        </w:rPr>
      </w:pPr>
    </w:p>
    <w:p>
      <w:pPr>
        <w:ind w:left="2960" w:right="4199" w:hanging="634"/>
        <w:spacing w:after="0" w:line="536" w:lineRule="auto"/>
        <w:tabs>
          <w:tab w:leader="none" w:pos="2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$.01 par value</w:t>
      </w:r>
    </w:p>
    <w:p>
      <w:pPr>
        <w:ind w:left="2960" w:hanging="634"/>
        <w:spacing w:after="0"/>
        <w:tabs>
          <w:tab w:leader="none" w:pos="2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85857R105</w:t>
      </w:r>
    </w:p>
    <w:p>
      <w:pPr>
        <w:spacing w:after="0" w:line="207" w:lineRule="exact"/>
        <w:rPr>
          <w:sz w:val="20"/>
          <w:szCs w:val="20"/>
          <w:color w:val="auto"/>
        </w:rPr>
      </w:pPr>
    </w:p>
    <w:p>
      <w:pPr>
        <w:ind w:left="2320" w:right="1779" w:hanging="2317"/>
        <w:spacing w:after="0" w:line="236" w:lineRule="auto"/>
        <w:tabs>
          <w:tab w:leader="none" w:pos="23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SS.SS.240.13d-1(b), OR 240.13d-2(b) OR (c), CHECK WHETHER THE PERSON FILING IS A:</w:t>
      </w:r>
    </w:p>
    <w:p>
      <w:pPr>
        <w:spacing w:after="0" w:line="209" w:lineRule="exact"/>
        <w:rPr>
          <w:sz w:val="20"/>
          <w:szCs w:val="20"/>
          <w:color w:val="auto"/>
        </w:rPr>
      </w:pPr>
    </w:p>
    <w:p>
      <w:pPr>
        <w:ind w:left="3700" w:right="1879" w:hanging="1374"/>
        <w:spacing w:after="0" w:line="235" w:lineRule="auto"/>
        <w:tabs>
          <w:tab w:leader="none" w:pos="29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3700" w:right="1779" w:hanging="1374"/>
        <w:spacing w:after="0" w:line="235" w:lineRule="auto"/>
        <w:tabs>
          <w:tab w:leader="none" w:pos="29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 (15 U.S.C. 78c).</w:t>
      </w:r>
    </w:p>
    <w:p>
      <w:pPr>
        <w:spacing w:after="0" w:line="202" w:lineRule="exact"/>
        <w:rPr>
          <w:rFonts w:ascii="Courier New" w:cs="Courier New" w:eastAsia="Courier New" w:hAnsi="Courier New"/>
          <w:sz w:val="18"/>
          <w:szCs w:val="18"/>
          <w:color w:val="auto"/>
        </w:rPr>
      </w:pPr>
    </w:p>
    <w:p>
      <w:pPr>
        <w:ind w:left="2960" w:hanging="634"/>
        <w:spacing w:after="0"/>
        <w:tabs>
          <w:tab w:leader="none" w:pos="2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 3(a)</w:t>
      </w:r>
    </w:p>
    <w:p>
      <w:pPr>
        <w:ind w:left="4220" w:hanging="525"/>
        <w:spacing w:after="0" w:line="238" w:lineRule="auto"/>
        <w:tabs>
          <w:tab w:leader="none" w:pos="42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Act (15 U.S.C. 78c).</w:t>
      </w:r>
    </w:p>
    <w:p>
      <w:pPr>
        <w:spacing w:after="0" w:line="207" w:lineRule="exact"/>
        <w:rPr>
          <w:rFonts w:ascii="Courier New" w:cs="Courier New" w:eastAsia="Courier New" w:hAnsi="Courier New"/>
          <w:sz w:val="18"/>
          <w:szCs w:val="18"/>
          <w:color w:val="auto"/>
        </w:rPr>
      </w:pPr>
    </w:p>
    <w:p>
      <w:pPr>
        <w:ind w:left="3700" w:right="1779" w:hanging="1374"/>
        <w:spacing w:after="0" w:line="235" w:lineRule="auto"/>
        <w:tabs>
          <w:tab w:leader="none" w:pos="29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80a-8).</w:t>
      </w:r>
    </w:p>
    <w:p>
      <w:pPr>
        <w:spacing w:after="0" w:line="207" w:lineRule="exact"/>
        <w:rPr>
          <w:rFonts w:ascii="Courier New" w:cs="Courier New" w:eastAsia="Courier New" w:hAnsi="Courier New"/>
          <w:sz w:val="18"/>
          <w:szCs w:val="18"/>
          <w:color w:val="auto"/>
        </w:rPr>
      </w:pPr>
    </w:p>
    <w:p>
      <w:pPr>
        <w:ind w:left="3700" w:right="2319" w:hanging="1374"/>
        <w:spacing w:after="0" w:line="235" w:lineRule="auto"/>
        <w:tabs>
          <w:tab w:leader="none" w:pos="296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ss.240.13d-1(b)(1)(ii)(E).</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717" w:right="1440" w:bottom="1440" w:gutter="0" w:footer="0" w:header="0"/>
        </w:sectPr>
      </w:pPr>
    </w:p>
    <w:bookmarkStart w:id="4" w:name="page5"/>
    <w:bookmarkEnd w:id="4"/>
    <w:p>
      <w:pPr>
        <w:ind w:left="3700" w:right="1779" w:hanging="1374"/>
        <w:spacing w:after="0" w:line="290" w:lineRule="auto"/>
        <w:tabs>
          <w:tab w:leader="none" w:pos="296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An employee benefit plan or endowment fund in accordance with ss.240.13d-1(b)(1)(ii)(F).</w:t>
      </w:r>
    </w:p>
    <w:p>
      <w:pPr>
        <w:spacing w:after="0" w:line="169" w:lineRule="exact"/>
        <w:rPr>
          <w:rFonts w:ascii="Courier New" w:cs="Courier New" w:eastAsia="Courier New" w:hAnsi="Courier New"/>
          <w:sz w:val="18"/>
          <w:szCs w:val="18"/>
          <w:color w:val="auto"/>
        </w:rPr>
      </w:pPr>
    </w:p>
    <w:p>
      <w:pPr>
        <w:ind w:left="3700" w:right="1779" w:hanging="1374"/>
        <w:spacing w:after="0" w:line="290" w:lineRule="auto"/>
        <w:tabs>
          <w:tab w:leader="none" w:pos="296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parent holding company or control person in accordance with ss.240.13d-1(b)(1)(ii)(G).</w:t>
      </w:r>
    </w:p>
    <w:p>
      <w:pPr>
        <w:spacing w:after="0" w:line="169" w:lineRule="exact"/>
        <w:rPr>
          <w:rFonts w:ascii="Courier New" w:cs="Courier New" w:eastAsia="Courier New" w:hAnsi="Courier New"/>
          <w:sz w:val="18"/>
          <w:szCs w:val="18"/>
          <w:color w:val="auto"/>
        </w:rPr>
      </w:pPr>
    </w:p>
    <w:p>
      <w:pPr>
        <w:ind w:left="3700" w:right="1999" w:hanging="1374"/>
        <w:spacing w:after="0" w:line="236" w:lineRule="auto"/>
        <w:tabs>
          <w:tab w:leader="none" w:pos="296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3700" w:right="2099" w:hanging="1374"/>
        <w:spacing w:after="0" w:line="237" w:lineRule="auto"/>
        <w:tabs>
          <w:tab w:leader="none" w:pos="296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 U.S.C. 80a-3).</w:t>
      </w:r>
    </w:p>
    <w:p>
      <w:pPr>
        <w:spacing w:after="0" w:line="207" w:lineRule="exact"/>
        <w:rPr>
          <w:rFonts w:ascii="Courier New" w:cs="Courier New" w:eastAsia="Courier New" w:hAnsi="Courier New"/>
          <w:sz w:val="18"/>
          <w:szCs w:val="18"/>
          <w:color w:val="auto"/>
        </w:rPr>
      </w:pPr>
    </w:p>
    <w:p>
      <w:pPr>
        <w:ind w:left="3700" w:right="1879" w:hanging="1374"/>
        <w:spacing w:after="0" w:line="235" w:lineRule="auto"/>
        <w:tabs>
          <w:tab w:leader="none" w:pos="296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ss.240.13d-1(b)(1) (ii)(J).</w:t>
      </w:r>
    </w:p>
    <w:p>
      <w:pPr>
        <w:spacing w:after="0" w:line="203"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960" w:hanging="634"/>
        <w:spacing w:after="0"/>
        <w:tabs>
          <w:tab w:leader="none" w:pos="2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1,291,530*</w:t>
      </w:r>
    </w:p>
    <w:p>
      <w:pPr>
        <w:spacing w:after="0" w:line="201" w:lineRule="exact"/>
        <w:rPr>
          <w:rFonts w:ascii="Courier New" w:cs="Courier New" w:eastAsia="Courier New" w:hAnsi="Courier New"/>
          <w:sz w:val="18"/>
          <w:szCs w:val="18"/>
          <w:color w:val="auto"/>
        </w:rPr>
      </w:pPr>
    </w:p>
    <w:p>
      <w:pPr>
        <w:ind w:left="2960" w:hanging="634"/>
        <w:spacing w:after="0"/>
        <w:tabs>
          <w:tab w:leader="none" w:pos="2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w:t>
      </w:r>
    </w:p>
    <w:p>
      <w:pPr>
        <w:spacing w:after="0" w:line="201" w:lineRule="exact"/>
        <w:rPr>
          <w:rFonts w:ascii="Courier New" w:cs="Courier New" w:eastAsia="Courier New" w:hAnsi="Courier New"/>
          <w:sz w:val="18"/>
          <w:szCs w:val="18"/>
          <w:color w:val="auto"/>
        </w:rPr>
      </w:pPr>
    </w:p>
    <w:p>
      <w:pPr>
        <w:ind w:left="2960" w:hanging="634"/>
        <w:spacing w:after="0"/>
        <w:tabs>
          <w:tab w:leader="none" w:pos="2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580" w:hanging="622"/>
        <w:spacing w:after="0"/>
        <w:tabs>
          <w:tab w:leader="none" w:pos="35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direct the vote 645,765*</w:t>
      </w:r>
    </w:p>
    <w:p>
      <w:pPr>
        <w:spacing w:after="0" w:line="223" w:lineRule="exact"/>
        <w:rPr>
          <w:rFonts w:ascii="Courier New" w:cs="Courier New" w:eastAsia="Courier New" w:hAnsi="Courier New"/>
          <w:sz w:val="16"/>
          <w:szCs w:val="16"/>
          <w:color w:val="auto"/>
        </w:rPr>
      </w:pPr>
    </w:p>
    <w:p>
      <w:pPr>
        <w:ind w:left="3580" w:right="2519" w:hanging="622"/>
        <w:spacing w:after="0" w:line="235" w:lineRule="auto"/>
        <w:tabs>
          <w:tab w:leader="none" w:pos="3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645,765*</w:t>
      </w:r>
    </w:p>
    <w:p>
      <w:pPr>
        <w:spacing w:after="0" w:line="208" w:lineRule="exact"/>
        <w:rPr>
          <w:rFonts w:ascii="Courier New" w:cs="Courier New" w:eastAsia="Courier New" w:hAnsi="Courier New"/>
          <w:sz w:val="18"/>
          <w:szCs w:val="18"/>
          <w:color w:val="auto"/>
        </w:rPr>
      </w:pPr>
    </w:p>
    <w:p>
      <w:pPr>
        <w:ind w:left="3580" w:right="2939" w:hanging="622"/>
        <w:spacing w:after="0" w:line="235" w:lineRule="auto"/>
        <w:tabs>
          <w:tab w:leader="none" w:pos="3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3580" w:right="2739" w:hanging="622"/>
        <w:spacing w:after="0" w:line="235" w:lineRule="auto"/>
        <w:tabs>
          <w:tab w:leader="none" w:pos="3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1,291,530*</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Attachment A</w:t>
      </w:r>
    </w:p>
    <w:p>
      <w:pPr>
        <w:spacing w:after="0" w:line="20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320" w:right="2839" w:hanging="2317"/>
        <w:spacing w:after="0" w:line="235" w:lineRule="auto"/>
        <w:tabs>
          <w:tab w:leader="none" w:pos="230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2320" w:right="1879" w:hanging="2317"/>
        <w:spacing w:after="0" w:line="236" w:lineRule="auto"/>
        <w:tabs>
          <w:tab w:leader="none" w:pos="23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723" w:right="1440" w:bottom="1440" w:gutter="0" w:footer="0" w:header="0"/>
        </w:sectPr>
      </w:pPr>
    </w:p>
    <w:bookmarkStart w:id="5" w:name="page6"/>
    <w:bookmarkEnd w:id="5"/>
    <w:p>
      <w:pPr>
        <w:spacing w:after="0"/>
        <w:tabs>
          <w:tab w:leader="none" w:pos="23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32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GABRIEL CAPITAL CORPORATION</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 Ezra Merkin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J. Ezra Merkin</w:t>
      </w:r>
    </w:p>
    <w:p>
      <w:pPr>
        <w:ind w:left="44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 Ezra Merkin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 EZRA MERKIN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29, 2002</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ATTACHMENT A</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October 28, 2002, Gabriel is the holder of 645,765 shares of Common Stock, or 2.5% of the outstanding shares of Common Stock. As of October 28, 2002, Ariel Fund is the holder of 645,765 shares of Common Stock, or 2.5% of the outstanding shares of Common Stock. Gabriel and Ariel Fund are managed investment vehicles and neither is the beneficial owner of said shares. Gabriel Capital, as Investment Advisor to Ariel Fund, has the power to vote and to direct the voting of and shared power to dispose and direct the disposition of the 645,765 shares of Common Stock owned by Ariel Fund. Accordingly, Gabriel Capital may be deemed to be the beneficial owner of 645,765 shares of Common Stock, or 2.5% of the outstanding shares of Common Stock. As the General Partner of Gabriel, Merkin has the power to vote and to direct the voting of and shared power to dispose and direct the disposition of the 645,765 shares of Common Stock owned by Gabriel. In addition, as the sole shareholder and president of Gabriel Capital, Merkin may be deemed to have the power to vote and to direct the voting of and shared power to dispose and direct the disposition of the 645,765 shares of Common Stock owned by Ariel Fund. The dispositive power that is reported as shared herein is shared with Mayer Offman. Accordingly, Merkin may be deemed to be the beneficial owner of 1,291,530 shares of Common Stock, or 5.0% of the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717" w:right="1440" w:bottom="1440" w:gutter="0" w:footer="0" w:header="0"/>
        </w:sectPr>
      </w:pPr>
    </w:p>
    <w:bookmarkStart w:id="7" w:name="page8"/>
    <w:bookmarkEnd w:id="7"/>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with all other persons signatory below of a statement on Schedule 13G or any amendments thereto, with respect to the Common Stock of StemCells Inc., and that this Agreement be included as an attachment to such filing.</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29th day of October, 2002.</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GABRIEL CAPITAL CORPORATION</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 Ezra Merkin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J. Ezra Merkin</w:t>
      </w:r>
    </w:p>
    <w:p>
      <w:pPr>
        <w:ind w:left="44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 Ezra Merkin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 EZRA MERKIN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
      <w:numFmt w:val="bullet"/>
      <w:start w:val="1"/>
    </w:lvl>
    <w:lvl w:ilvl="1">
      <w:lvlJc w:val="left"/>
      <w:lvlText w:val="(%2)"/>
      <w:numFmt w:val="lowerLetter"/>
      <w:start w:val="1"/>
    </w:lvl>
  </w:abstractNum>
  <w:abstractNum w:abstractNumId="8">
    <w:nsid w:val="41A7C4C9"/>
    <w:multiLevelType w:val="hybridMultilevel"/>
    <w:lvl w:ilvl="0">
      <w:lvlJc w:val="left"/>
      <w:lvlText w:val="-"/>
      <w:numFmt w:val="bullet"/>
      <w:start w:val="1"/>
    </w:lvl>
    <w:lvl w:ilvl="1">
      <w:lvlJc w:val="left"/>
      <w:lvlText w:val="8"/>
      <w:numFmt w:val="bullet"/>
      <w:start w:val="1"/>
    </w:lvl>
  </w:abstractNum>
  <w:abstractNum w:abstractNumId="9">
    <w:nsid w:val="6B68079A"/>
    <w:multiLevelType w:val="hybridMultilevel"/>
    <w:lvl w:ilvl="0">
      <w:lvlJc w:val="left"/>
      <w:lvlText w:val="9"/>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
      <w:numFmt w:val="bullet"/>
      <w:start w:val="1"/>
    </w:lvl>
    <w:lvl w:ilvl="1">
      <w:lvlJc w:val="left"/>
      <w:lvlText w:val="(%2)"/>
      <w:numFmt w:val="lowerLetter"/>
      <w:start w:val="1"/>
    </w:lvl>
  </w:abstractNum>
  <w:abstractNum w:abstractNumId="14">
    <w:nsid w:val="3F2DBA31"/>
    <w:multiLevelType w:val="hybridMultilevel"/>
    <w:lvl w:ilvl="0">
      <w:lvlJc w:val="left"/>
      <w:lvlText w:val="-"/>
      <w:numFmt w:val="bullet"/>
      <w:start w:val="1"/>
    </w:lvl>
    <w:lvl w:ilvl="1">
      <w:lvlJc w:val="left"/>
      <w:lvlText w:val="8"/>
      <w:numFmt w:val="bullet"/>
      <w:start w:val="1"/>
    </w:lvl>
  </w:abstractNum>
  <w:abstractNum w:abstractNumId="15">
    <w:nsid w:val="7C83E458"/>
    <w:multiLevelType w:val="hybridMultilevel"/>
    <w:lvl w:ilvl="0">
      <w:lvlJc w:val="left"/>
      <w:lvlText w:val="9"/>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lvl w:ilvl="1">
      <w:lvlJc w:val="left"/>
      <w:lvlText w:val="(%2)"/>
      <w:numFmt w:val="decimal"/>
      <w:start w:val="19"/>
    </w:lvl>
  </w:abstractNum>
  <w:abstractNum w:abstractNumId="20">
    <w:nsid w:val="333AB105"/>
    <w:multiLevelType w:val="hybridMultilevel"/>
    <w:lvl w:ilvl="0">
      <w:lvlJc w:val="left"/>
      <w:lvlText w:val="(%1)"/>
      <w:numFmt w:val="lowerLetter"/>
      <w:start w:val="6"/>
    </w:lvl>
  </w:abstractNum>
  <w:abstractNum w:abstractNumId="21">
    <w:nsid w:val="721DA31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2019-12-13T21:01:40Z</dcterms:created>
  <dcterms:modified xsi:type="dcterms:W3CDTF">2019-12-13T21:01:40Z</dcterms:modified>
</cp:coreProperties>
</file>