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19 ,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333- 228285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0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4980" w:type="dxa"/>
            <w:vAlign w:val="bottom"/>
            <w:gridSpan w:val="3"/>
          </w:tcPr>
          <w:p>
            <w:pPr>
              <w:ind w:left="460"/>
              <w:spacing w:after="0"/>
              <w:rPr>
                <w:sz w:val="20"/>
                <w:szCs w:val="20"/>
                <w:color w:val="auto"/>
              </w:rPr>
            </w:pPr>
            <w:r>
              <w:rPr>
                <w:rFonts w:ascii="Arial" w:cs="Arial" w:eastAsia="Arial" w:hAnsi="Arial"/>
                <w:sz w:val="18"/>
                <w:szCs w:val="18"/>
                <w:b w:val="1"/>
                <w:bCs w:val="1"/>
                <w:color w:val="auto"/>
                <w:w w:val="98"/>
              </w:rPr>
              <w:t>(Exact Name of Registrant as Specified in Its Charter)</w:t>
            </w:r>
          </w:p>
        </w:tc>
        <w:tc>
          <w:tcPr>
            <w:tcW w:w="2020" w:type="dxa"/>
            <w:vAlign w:val="bottom"/>
          </w:tcPr>
          <w:p>
            <w:pPr>
              <w:spacing w:after="0"/>
              <w:rPr>
                <w:sz w:val="20"/>
                <w:szCs w:val="20"/>
                <w:color w:val="auto"/>
              </w:rPr>
            </w:pPr>
          </w:p>
        </w:tc>
      </w:tr>
      <w:tr>
        <w:trPr>
          <w:trHeight w:val="203"/>
        </w:trPr>
        <w:tc>
          <w:tcPr>
            <w:tcW w:w="2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31"/>
        </w:trPr>
        <w:tc>
          <w:tcPr>
            <w:tcW w:w="268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89"/>
              </w:rPr>
              <w:t>2836</w:t>
            </w:r>
          </w:p>
        </w:tc>
        <w:tc>
          <w:tcPr>
            <w:tcW w:w="1260" w:type="dxa"/>
            <w:vAlign w:val="bottom"/>
          </w:tcPr>
          <w:p>
            <w:pPr>
              <w:spacing w:after="0"/>
              <w:rPr>
                <w:sz w:val="24"/>
                <w:szCs w:val="24"/>
                <w:color w:val="auto"/>
              </w:rPr>
            </w:pPr>
          </w:p>
        </w:tc>
        <w:tc>
          <w:tcPr>
            <w:tcW w:w="202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680" w:type="dxa"/>
            <w:vAlign w:val="bottom"/>
          </w:tcPr>
          <w:p>
            <w:pPr>
              <w:jc w:val="center"/>
              <w:ind w:right="430"/>
              <w:spacing w:after="0"/>
              <w:rPr>
                <w:sz w:val="20"/>
                <w:szCs w:val="20"/>
                <w:color w:val="auto"/>
              </w:rPr>
            </w:pPr>
            <w:r>
              <w:rPr>
                <w:rFonts w:ascii="Arial" w:cs="Arial" w:eastAsia="Arial" w:hAnsi="Arial"/>
                <w:sz w:val="18"/>
                <w:szCs w:val="18"/>
                <w:color w:val="auto"/>
                <w:w w:val="92"/>
              </w:rPr>
              <w:t>(State or Other Jurisdiction of</w:t>
            </w:r>
          </w:p>
        </w:tc>
        <w:tc>
          <w:tcPr>
            <w:tcW w:w="860" w:type="dxa"/>
            <w:vAlign w:val="bottom"/>
          </w:tcPr>
          <w:p>
            <w:pPr>
              <w:spacing w:after="0"/>
              <w:rPr>
                <w:sz w:val="18"/>
                <w:szCs w:val="18"/>
                <w:color w:val="auto"/>
              </w:rPr>
            </w:pPr>
          </w:p>
        </w:tc>
        <w:tc>
          <w:tcPr>
            <w:tcW w:w="412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(Primary Standard Industrial</w:t>
            </w:r>
          </w:p>
        </w:tc>
        <w:tc>
          <w:tcPr>
            <w:tcW w:w="2020" w:type="dxa"/>
            <w:vAlign w:val="bottom"/>
          </w:tcPr>
          <w:p>
            <w:pPr>
              <w:jc w:val="center"/>
              <w:ind w:left="29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jc w:val="center"/>
              <w:ind w:right="390"/>
              <w:spacing w:after="0"/>
              <w:rPr>
                <w:sz w:val="20"/>
                <w:szCs w:val="20"/>
                <w:color w:val="auto"/>
              </w:rPr>
            </w:pPr>
            <w:r>
              <w:rPr>
                <w:rFonts w:ascii="Arial" w:cs="Arial" w:eastAsia="Arial" w:hAnsi="Arial"/>
                <w:sz w:val="18"/>
                <w:szCs w:val="18"/>
                <w:color w:val="auto"/>
                <w:w w:val="91"/>
              </w:rPr>
              <w:t>Incorporation or Organization)</w:t>
            </w:r>
          </w:p>
        </w:tc>
        <w:tc>
          <w:tcPr>
            <w:tcW w:w="860" w:type="dxa"/>
            <w:vAlign w:val="bottom"/>
          </w:tcPr>
          <w:p>
            <w:pPr>
              <w:spacing w:after="0"/>
              <w:rPr>
                <w:sz w:val="20"/>
                <w:szCs w:val="20"/>
                <w:color w:val="auto"/>
              </w:rPr>
            </w:pPr>
          </w:p>
        </w:tc>
        <w:tc>
          <w:tcPr>
            <w:tcW w:w="412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Classification Code Number)</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Chief Executive Officer, Chairman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4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378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4"/>
              </w:rPr>
              <w:t>Copies to:</w:t>
            </w:r>
          </w:p>
        </w:tc>
        <w:tc>
          <w:tcPr>
            <w:tcW w:w="3020" w:type="dxa"/>
            <w:vAlign w:val="bottom"/>
          </w:tcPr>
          <w:p>
            <w:pPr>
              <w:spacing w:after="0"/>
              <w:rPr>
                <w:sz w:val="20"/>
                <w:szCs w:val="20"/>
                <w:color w:val="auto"/>
              </w:rPr>
            </w:pPr>
          </w:p>
        </w:tc>
      </w:tr>
      <w:tr>
        <w:trPr>
          <w:trHeight w:val="414"/>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95"/>
              </w:rPr>
              <w:t>Marc D. Mantell, Esq.</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Stephen E. Fox, Esq.</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88"/>
              </w:rPr>
              <w:t>Steven Skolnick, Esq.</w:t>
            </w:r>
          </w:p>
        </w:tc>
      </w:tr>
      <w:tr>
        <w:trPr>
          <w:trHeight w:val="216"/>
        </w:trPr>
        <w:tc>
          <w:tcPr>
            <w:tcW w:w="34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Mintz, Levin, Cohn, Ferris, Glovsky</w:t>
            </w:r>
          </w:p>
        </w:tc>
        <w:tc>
          <w:tcPr>
            <w:tcW w:w="3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Ruskin Moscou Faltischek PC</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Michael Lerner, Esq.</w:t>
            </w:r>
          </w:p>
        </w:tc>
      </w:tr>
      <w:tr>
        <w:trPr>
          <w:trHeight w:val="216"/>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and Popeo, P.C.</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1425 RXR Plaza</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Lowenstein Sandler LLP</w:t>
            </w:r>
          </w:p>
        </w:tc>
      </w:tr>
      <w:tr>
        <w:trPr>
          <w:trHeight w:val="221"/>
        </w:trPr>
        <w:tc>
          <w:tcPr>
            <w:tcW w:w="34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One Financial Center</w:t>
            </w:r>
          </w:p>
        </w:tc>
        <w:tc>
          <w:tcPr>
            <w:tcW w:w="3780" w:type="dxa"/>
            <w:vAlign w:val="bottom"/>
          </w:tcPr>
          <w:p>
            <w:pPr>
              <w:jc w:val="center"/>
              <w:ind w:right="32"/>
              <w:spacing w:after="0" w:line="221" w:lineRule="exact"/>
              <w:rPr>
                <w:sz w:val="20"/>
                <w:szCs w:val="20"/>
                <w:color w:val="auto"/>
              </w:rPr>
            </w:pPr>
            <w:r>
              <w:rPr>
                <w:rFonts w:ascii="Arial" w:cs="Arial" w:eastAsia="Arial" w:hAnsi="Arial"/>
                <w:sz w:val="16"/>
                <w:szCs w:val="16"/>
                <w:b w:val="1"/>
                <w:bCs w:val="1"/>
                <w:color w:val="auto"/>
                <w:w w:val="98"/>
              </w:rPr>
              <w:t>15</w:t>
            </w:r>
            <w:r>
              <w:rPr>
                <w:rFonts w:ascii="Arial" w:cs="Arial" w:eastAsia="Arial" w:hAnsi="Arial"/>
                <w:sz w:val="25"/>
                <w:szCs w:val="25"/>
                <w:b w:val="1"/>
                <w:bCs w:val="1"/>
                <w:color w:val="auto"/>
                <w:w w:val="98"/>
                <w:vertAlign w:val="superscript"/>
              </w:rPr>
              <w:t>th</w:t>
            </w:r>
            <w:r>
              <w:rPr>
                <w:rFonts w:ascii="Arial" w:cs="Arial" w:eastAsia="Arial" w:hAnsi="Arial"/>
                <w:sz w:val="16"/>
                <w:szCs w:val="16"/>
                <w:b w:val="1"/>
                <w:bCs w:val="1"/>
                <w:color w:val="auto"/>
                <w:w w:val="98"/>
              </w:rPr>
              <w:t xml:space="preserve"> Floor, East Tower</w:t>
            </w:r>
          </w:p>
        </w:tc>
        <w:tc>
          <w:tcPr>
            <w:tcW w:w="302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1251 Avenue of the Americas</w:t>
            </w:r>
          </w:p>
        </w:tc>
      </w:tr>
      <w:tr>
        <w:trPr>
          <w:trHeight w:val="216"/>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85"/>
              </w:rPr>
              <w:t>Boston, Massachusetts 02111</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Uniondale, New York 11556</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2"/>
              </w:rPr>
              <w:t>New York, NY 10020</w:t>
            </w:r>
          </w:p>
        </w:tc>
      </w:tr>
      <w:tr>
        <w:trPr>
          <w:trHeight w:val="270"/>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(617) 542-6000</w:t>
            </w:r>
          </w:p>
        </w:tc>
        <w:tc>
          <w:tcPr>
            <w:tcW w:w="3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(516) 663-6600</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(212) 262-6700</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p>
    <w:p>
      <w:pPr>
        <w:spacing w:after="0" w:line="25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(the “Exchange Act”).</w:t>
      </w:r>
    </w:p>
    <w:p>
      <w:pPr>
        <w:sectPr>
          <w:pgSz w:w="11900" w:h="16838" w:orient="portrait"/>
          <w:cols w:equalWidth="0" w:num="1">
            <w:col w:w="11420"/>
          </w:cols>
          <w:pgMar w:left="240" w:top="445" w:right="239" w:bottom="0" w:gutter="0" w:footer="0" w:header="0"/>
        </w:sectPr>
      </w:pPr>
    </w:p>
    <w:p>
      <w:pPr>
        <w:spacing w:after="0" w:line="14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20" w:space="720"/>
            <w:col w:w="3980"/>
          </w:cols>
          <w:pgMar w:left="240" w:top="445" w:right="239" w:bottom="0" w:gutter="0" w:footer="0" w:header="0"/>
          <w:type w:val="continuous"/>
        </w:sectPr>
      </w:pPr>
    </w:p>
    <w:p>
      <w:pPr>
        <w:spacing w:after="0" w:line="3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25" w:lineRule="exact"/>
        <w:rPr>
          <w:sz w:val="24"/>
          <w:szCs w:val="24"/>
          <w:color w:val="auto"/>
        </w:rPr>
      </w:pPr>
    </w:p>
    <w:p>
      <w:pPr>
        <w:ind w:left="2180"/>
        <w:spacing w:after="0"/>
        <w:tabs>
          <w:tab w:leader="none" w:pos="7180" w:val="left"/>
          <w:tab w:leader="none" w:pos="9800" w:val="left"/>
        </w:tabs>
        <w:rPr>
          <w:sz w:val="20"/>
          <w:szCs w:val="20"/>
          <w:color w:val="auto"/>
        </w:rPr>
      </w:pPr>
      <w:r>
        <w:rPr>
          <w:rFonts w:ascii="Arial" w:cs="Arial" w:eastAsia="Arial" w:hAnsi="Arial"/>
          <w:sz w:val="18"/>
          <w:szCs w:val="18"/>
          <w:b w:val="1"/>
          <w:bCs w:val="1"/>
          <w:color w:val="auto"/>
        </w:rPr>
        <w:t>Title of Each Class of Securities</w:t>
      </w:r>
      <w:r>
        <w:rPr>
          <w:sz w:val="20"/>
          <w:szCs w:val="20"/>
          <w:color w:val="auto"/>
        </w:rPr>
        <w:tab/>
      </w:r>
      <w:r>
        <w:rPr>
          <w:rFonts w:ascii="Arial" w:cs="Arial" w:eastAsia="Arial" w:hAnsi="Arial"/>
          <w:sz w:val="18"/>
          <w:szCs w:val="18"/>
          <w:b w:val="1"/>
          <w:bCs w:val="1"/>
          <w:color w:val="auto"/>
        </w:rPr>
        <w:t>Proposed Maximum</w:t>
      </w:r>
      <w:r>
        <w:rPr>
          <w:sz w:val="20"/>
          <w:szCs w:val="20"/>
          <w:color w:val="auto"/>
        </w:rPr>
        <w:tab/>
      </w:r>
      <w:r>
        <w:rPr>
          <w:rFonts w:ascii="Arial" w:cs="Arial" w:eastAsia="Arial" w:hAnsi="Arial"/>
          <w:sz w:val="16"/>
          <w:szCs w:val="16"/>
          <w:b w:val="1"/>
          <w:bCs w:val="1"/>
          <w:color w:val="auto"/>
        </w:rPr>
        <w:t>Amount of</w:t>
      </w:r>
    </w:p>
    <w:p>
      <w:pPr>
        <w:sectPr>
          <w:pgSz w:w="11900" w:h="16838" w:orient="portrait"/>
          <w:cols w:equalWidth="0" w:num="1">
            <w:col w:w="11420"/>
          </w:cols>
          <w:pgMar w:left="240" w:top="44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800" w:type="dxa"/>
            <w:vAlign w:val="bottom"/>
          </w:tcPr>
          <w:p>
            <w:pPr>
              <w:ind w:left="2680"/>
              <w:spacing w:after="0"/>
              <w:rPr>
                <w:sz w:val="20"/>
                <w:szCs w:val="20"/>
                <w:color w:val="auto"/>
              </w:rPr>
            </w:pPr>
            <w:r>
              <w:rPr>
                <w:rFonts w:ascii="Arial" w:cs="Arial" w:eastAsia="Arial" w:hAnsi="Arial"/>
                <w:sz w:val="18"/>
                <w:szCs w:val="18"/>
                <w:b w:val="1"/>
                <w:bCs w:val="1"/>
                <w:color w:val="auto"/>
              </w:rPr>
              <w:t>to be Registered(1)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Aggregate Offering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3"/>
              </w:rPr>
              <w:t>Registration Fee(3)</w:t>
            </w:r>
          </w:p>
        </w:tc>
      </w:tr>
      <w:tr>
        <w:trPr>
          <w:trHeight w:val="241"/>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Price(2)(3)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2,787.60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6800" w:type="dxa"/>
            <w:vAlign w:val="bottom"/>
          </w:tcPr>
          <w:p>
            <w:pPr>
              <w:spacing w:after="0" w:line="201" w:lineRule="exact"/>
              <w:rPr>
                <w:sz w:val="20"/>
                <w:szCs w:val="20"/>
                <w:color w:val="auto"/>
              </w:rPr>
            </w:pPr>
            <w:r>
              <w:rPr>
                <w:rFonts w:ascii="Arial" w:cs="Arial" w:eastAsia="Arial" w:hAnsi="Arial"/>
                <w:sz w:val="18"/>
                <w:szCs w:val="18"/>
                <w:color w:val="auto"/>
                <w:w w:val="92"/>
              </w:rPr>
              <w:t>Pre-funded warrants to purchase shares of common stock and common stock issuable upon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exercise thereof</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Underwriter ’s warrants to purchase shares of common stock issuable upon exercise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4"/>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thereof(4)</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1,437,500</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174.23</w:t>
            </w:r>
          </w:p>
        </w:tc>
        <w:tc>
          <w:tcPr>
            <w:tcW w:w="200" w:type="dxa"/>
            <w:vAlign w:val="bottom"/>
            <w:shd w:val="clear" w:color="auto" w:fill="CCEEFF"/>
          </w:tcPr>
          <w:p>
            <w:pPr>
              <w:spacing w:after="0"/>
              <w:rPr>
                <w:sz w:val="22"/>
                <w:szCs w:val="22"/>
                <w:color w:val="auto"/>
              </w:rPr>
            </w:pPr>
          </w:p>
        </w:tc>
      </w:tr>
      <w:tr>
        <w:trPr>
          <w:trHeight w:val="217"/>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24,437,500</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2,961.83</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(5)</w:t>
            </w:r>
          </w:p>
        </w:tc>
      </w:tr>
      <w:tr>
        <w:trPr>
          <w:trHeight w:val="20"/>
        </w:trPr>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being registered hereunder include such indeterminate number of additional securities as may be issuable to prevent dilution resulting from stock splits, stock dividends or similar transactions.</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of the common stock proposed to be sold in the offering will be reduced on a dollar-for-dollar basis based on the aggregate offering price of the pre-funded warrants offered and sold in the offering, and therefore , the proposed aggregate maximum offering price of the common stock and pre-funded warrants (including the common stock issuable upon exercise of the pre-funded warrants), if any, is $23,000,000.</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457(o) of the Securities Act of 1933, as amended. Includes the offering price of any additional securities that the underwriter has the option to purchase.</w:t>
      </w:r>
    </w:p>
    <w:p>
      <w:pPr>
        <w:spacing w:after="0" w:line="170"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warrants issuable to H.C. Wainwright &amp; Co., LLC (the “Underwriter’s Warrants”) to purchase a number of shares of common stock equal to 5% of the number of shares of common stock (including the shares of common stock issued pursuant to the underwriter’s exercise of its over-allotment option and pre-funded warrants) being offered at an exercise price equal to 125% of the public offering price. Resales of the Underwriter’s Warrants on a delayed or continuous basis pursuant to Rule 415 under the Securities Act of 1933, as amended, are registered hereby. Resales of shares of common stock issuable upon exercise of the Underwriter’s Warrants are also being similarly registered on a delayed or continuous basis hereby. See “Underwriting.”</w:t>
      </w:r>
    </w:p>
    <w:p>
      <w:pPr>
        <w:spacing w:after="0" w:line="158"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 SUBJECT TO COMPLETION, DATED NOVEMBER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154940</wp:posOffset>
            </wp:positionV>
            <wp:extent cx="2143760"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76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5,865,102 Shares of Common Stock</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5,865,102 Pre-Funded Warrants to Purchase Shares of 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offering 5,865,102 shares of our common stock.</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any such purchaser so chooses, pre-funded warrants, in lieu of shares of common stock that would otherwise result in such purchaser’s beneficial ownership exceeding 4.99% (or, at the election of the purchaser, 9.99%) of our outstanding common stock. The purchase price of each pre-funded warrant will be equal to the price per share at which shares of common stock are sold to the public in this offering, minus $0.01, and the exercise price of each pre-funded warrant will be $0.01 per share. This offering also relates to the shares of common stock issuable upon exercise of any pre-funded warrants sold in this offering. The pre-funded warrants will be exercisable immediately and may be exercised at any time until all of the pre-funded warrants are exercised in full. For each pre-funded warrant we sell, the number of shares of common stock we are offering will be decreased on a one-for-one basis.</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common stock is listed on The Nasdaq Capital Market under the symbol “MBOT.” On November 16 , 2018, the last reported sale price of our common stock on The Nasdaq Capital Market was $ 3.41 per share. The public offering price per share and any pre-funded warrant will be determined between us and the underwriter at the time of pricing, and may be at a discount to the current market price. There is no established public trading market for the pre-funded warrants and the Underwriter’s Warrants, and we do not expect a market to develop. In addition, we do not intend to apply for a listing of the pre-funded warrants and the Underwriter’s Warrants on any national securities exchange or other nationally recognized trading system.</w:t>
      </w:r>
    </w:p>
    <w:p>
      <w:pPr>
        <w:spacing w:after="0" w:line="16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See the section entitled “Risk Factors” beginning on page 7 of this prospectus and in the documents incorporated by reference into this prospectus for a discussion of risks that should be considered in connection with an investment in our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8"/>
                <w:szCs w:val="18"/>
                <w:b w:val="1"/>
                <w:bCs w:val="1"/>
                <w:color w:val="auto"/>
              </w:rPr>
              <w:t>Per Pre-Funded</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00" w:type="dxa"/>
            <w:vAlign w:val="bottom"/>
          </w:tcPr>
          <w:p>
            <w:pPr>
              <w:spacing w:after="0"/>
              <w:rPr>
                <w:sz w:val="20"/>
                <w:szCs w:val="20"/>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 Share</w:t>
            </w:r>
          </w:p>
        </w:tc>
        <w:tc>
          <w:tcPr>
            <w:tcW w:w="1700" w:type="dxa"/>
            <w:vAlign w:val="bottom"/>
          </w:tcPr>
          <w:p>
            <w:pPr>
              <w:jc w:val="right"/>
              <w:ind w:right="439"/>
              <w:spacing w:after="0"/>
              <w:rPr>
                <w:sz w:val="20"/>
                <w:szCs w:val="20"/>
                <w:color w:val="auto"/>
              </w:rPr>
            </w:pPr>
            <w:r>
              <w:rPr>
                <w:rFonts w:ascii="Arial" w:cs="Arial" w:eastAsia="Arial" w:hAnsi="Arial"/>
                <w:sz w:val="18"/>
                <w:szCs w:val="18"/>
                <w:b w:val="1"/>
                <w:bCs w:val="1"/>
                <w:color w:val="auto"/>
              </w:rPr>
              <w:t>Warrant</w:t>
            </w:r>
          </w:p>
        </w:tc>
        <w:tc>
          <w:tcPr>
            <w:tcW w:w="340" w:type="dxa"/>
            <w:vAlign w:val="bottom"/>
          </w:tcPr>
          <w:p>
            <w:pPr>
              <w:spacing w:after="0"/>
              <w:rPr>
                <w:sz w:val="20"/>
                <w:szCs w:val="20"/>
                <w:color w:val="auto"/>
              </w:rPr>
            </w:pPr>
          </w:p>
        </w:tc>
        <w:tc>
          <w:tcPr>
            <w:tcW w:w="180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auto"/>
            </w:tcBorders>
            <w:shd w:val="clear" w:color="auto" w:fill="CCEEFF"/>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720" w:type="dxa"/>
            <w:vAlign w:val="bottom"/>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700" w:type="dxa"/>
            <w:vAlign w:val="bottom"/>
          </w:tcPr>
          <w:p>
            <w:pPr>
              <w:jc w:val="right"/>
              <w:ind w:right="1539"/>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15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720" w:type="dxa"/>
            <w:vAlign w:val="bottom"/>
            <w:shd w:val="clear" w:color="auto" w:fill="CCEEFF"/>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39"/>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15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beginning on page 20 of this prospectus for a description of compensation and reimbursement of expenses payable to the underwriter.</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offering is being underwritten on a firm commitment basis. We have granted the underwriter an option for a period of 30 days from the date of this prospectus to purchase up to an additional 879,765 shares of our common stock at the public offering price, less the underwriting discounts and commissions, to cover over-allotments, if any. If the underwriter exercises this option in full, the total underwriting discounts and commissions payable by us will be $</w:t>
      </w:r>
    </w:p>
    <w:p>
      <w:pPr>
        <w:ind w:left="460"/>
        <w:spacing w:after="0"/>
        <w:tabs>
          <w:tab w:leader="none" w:pos="4960" w:val="left"/>
        </w:tabs>
        <w:rPr>
          <w:sz w:val="20"/>
          <w:szCs w:val="20"/>
          <w:color w:val="auto"/>
        </w:rPr>
      </w:pPr>
      <w:r>
        <w:rPr>
          <w:rFonts w:ascii="Arial" w:cs="Arial" w:eastAsia="Arial" w:hAnsi="Arial"/>
          <w:sz w:val="18"/>
          <w:szCs w:val="18"/>
          <w:color w:val="auto"/>
        </w:rPr>
        <w:t>, and the total proceeds to us, before expenses, will be $</w:t>
      </w:r>
      <w:r>
        <w:rPr>
          <w:sz w:val="20"/>
          <w:szCs w:val="20"/>
          <w:color w:val="auto"/>
        </w:rPr>
        <w:tab/>
      </w:r>
      <w:r>
        <w:rPr>
          <w:rFonts w:ascii="Arial" w:cs="Arial" w:eastAsia="Arial" w:hAnsi="Arial"/>
          <w:sz w:val="14"/>
          <w:szCs w:val="14"/>
          <w:color w:val="auto"/>
        </w:rPr>
        <w:t>.</w:t>
      </w:r>
    </w:p>
    <w:p>
      <w:pPr>
        <w:spacing w:after="0" w:line="207" w:lineRule="exact"/>
        <w:rPr>
          <w:sz w:val="20"/>
          <w:szCs w:val="20"/>
          <w:color w:val="auto"/>
        </w:rPr>
      </w:pPr>
    </w:p>
    <w:p>
      <w:pPr>
        <w:jc w:val="both"/>
        <w:ind w:right="20" w:firstLine="3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gridSpan w:val="2"/>
          </w:tcPr>
          <w:p>
            <w:pPr>
              <w:jc w:val="right"/>
              <w:ind w:right="510"/>
              <w:spacing w:after="0"/>
              <w:rPr>
                <w:sz w:val="20"/>
                <w:szCs w:val="20"/>
                <w:color w:val="auto"/>
              </w:rPr>
            </w:pPr>
            <w:r>
              <w:rPr>
                <w:rFonts w:ascii="Arial" w:cs="Arial" w:eastAsia="Arial" w:hAnsi="Arial"/>
                <w:sz w:val="18"/>
                <w:szCs w:val="18"/>
                <w:color w:val="auto"/>
                <w:w w:val="97"/>
              </w:rPr>
              <w:t>Delivery of the shares of common stock and any pre-funded warrants to purchasers is expected on or about</w:t>
            </w:r>
          </w:p>
        </w:tc>
        <w:tc>
          <w:tcPr>
            <w:tcW w:w="2460" w:type="dxa"/>
            <w:vAlign w:val="bottom"/>
          </w:tcPr>
          <w:p>
            <w:pPr>
              <w:ind w:left="620"/>
              <w:spacing w:after="0"/>
              <w:rPr>
                <w:sz w:val="20"/>
                <w:szCs w:val="20"/>
                <w:color w:val="auto"/>
              </w:rPr>
            </w:pPr>
            <w:r>
              <w:rPr>
                <w:rFonts w:ascii="Arial" w:cs="Arial" w:eastAsia="Arial" w:hAnsi="Arial"/>
                <w:sz w:val="18"/>
                <w:szCs w:val="18"/>
                <w:color w:val="auto"/>
                <w:w w:val="92"/>
              </w:rPr>
              <w:t>, 2018, subject to certain</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customary closing conditions.</w:t>
            </w:r>
          </w:p>
        </w:tc>
        <w:tc>
          <w:tcPr>
            <w:tcW w:w="20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32"/>
        </w:trPr>
        <w:tc>
          <w:tcPr>
            <w:tcW w:w="6880" w:type="dxa"/>
            <w:vAlign w:val="bottom"/>
          </w:tcPr>
          <w:p>
            <w:pPr>
              <w:jc w:val="center"/>
              <w:ind w:left="4450"/>
              <w:spacing w:after="0"/>
              <w:rPr>
                <w:sz w:val="20"/>
                <w:szCs w:val="20"/>
                <w:color w:val="auto"/>
              </w:rPr>
            </w:pPr>
            <w:r>
              <w:rPr>
                <w:rFonts w:ascii="Arial" w:cs="Arial" w:eastAsia="Arial" w:hAnsi="Arial"/>
                <w:sz w:val="18"/>
                <w:szCs w:val="18"/>
                <w:i w:val="1"/>
                <w:iCs w:val="1"/>
                <w:color w:val="auto"/>
                <w:w w:val="90"/>
              </w:rPr>
              <w:t>Sole Book-Running Manager</w:t>
            </w:r>
          </w:p>
        </w:tc>
        <w:tc>
          <w:tcPr>
            <w:tcW w:w="20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6880" w:type="dxa"/>
            <w:vAlign w:val="bottom"/>
          </w:tcPr>
          <w:p>
            <w:pPr>
              <w:jc w:val="center"/>
              <w:ind w:left="4450"/>
              <w:spacing w:after="0"/>
              <w:rPr>
                <w:sz w:val="20"/>
                <w:szCs w:val="20"/>
                <w:color w:val="auto"/>
              </w:rPr>
            </w:pPr>
            <w:r>
              <w:rPr>
                <w:rFonts w:ascii="Arial" w:cs="Arial" w:eastAsia="Arial" w:hAnsi="Arial"/>
                <w:sz w:val="18"/>
                <w:szCs w:val="18"/>
                <w:b w:val="1"/>
                <w:bCs w:val="1"/>
                <w:color w:val="auto"/>
                <w:w w:val="95"/>
              </w:rPr>
              <w:t>H.C. Wainwright &amp; Co.</w:t>
            </w:r>
          </w:p>
        </w:tc>
        <w:tc>
          <w:tcPr>
            <w:tcW w:w="20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6880" w:type="dxa"/>
            <w:vAlign w:val="bottom"/>
          </w:tcPr>
          <w:p>
            <w:pPr>
              <w:ind w:left="3980"/>
              <w:spacing w:after="0"/>
              <w:rPr>
                <w:sz w:val="20"/>
                <w:szCs w:val="20"/>
                <w:color w:val="auto"/>
              </w:rPr>
            </w:pPr>
            <w:r>
              <w:rPr>
                <w:rFonts w:ascii="Arial" w:cs="Arial" w:eastAsia="Arial" w:hAnsi="Arial"/>
                <w:sz w:val="18"/>
                <w:szCs w:val="18"/>
                <w:color w:val="auto"/>
              </w:rPr>
              <w:t>The date of this prospectus is</w:t>
            </w:r>
          </w:p>
        </w:tc>
        <w:tc>
          <w:tcPr>
            <w:tcW w:w="2080" w:type="dxa"/>
            <w:vAlign w:val="bottom"/>
          </w:tcPr>
          <w:p>
            <w:pPr>
              <w:jc w:val="right"/>
              <w:ind w:right="1430"/>
              <w:spacing w:after="0"/>
              <w:rPr>
                <w:sz w:val="20"/>
                <w:szCs w:val="20"/>
                <w:color w:val="auto"/>
              </w:rPr>
            </w:pPr>
            <w:r>
              <w:rPr>
                <w:rFonts w:ascii="Arial" w:cs="Arial" w:eastAsia="Arial" w:hAnsi="Arial"/>
                <w:sz w:val="18"/>
                <w:szCs w:val="18"/>
                <w:color w:val="auto"/>
              </w:rPr>
              <w:t>, 2018</w:t>
            </w:r>
          </w:p>
        </w:tc>
        <w:tc>
          <w:tcPr>
            <w:tcW w:w="2460" w:type="dxa"/>
            <w:vAlign w:val="bottom"/>
          </w:tcPr>
          <w:p>
            <w:pPr>
              <w:spacing w:after="0"/>
              <w:rPr>
                <w:sz w:val="24"/>
                <w:szCs w:val="24"/>
                <w:color w:val="auto"/>
              </w:rPr>
            </w:pPr>
          </w:p>
        </w:tc>
      </w:tr>
      <w:tr>
        <w:trPr>
          <w:trHeight w:val="439"/>
        </w:trPr>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103"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SPECIAL 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top w:val="single" w:sz="8" w:color="0000EE"/>
            </w:tcBorders>
            <w:gridSpan w:val="16"/>
          </w:tcPr>
          <w:p>
            <w:pPr>
              <w:spacing w:after="0" w:line="17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USE OF PROCEEDS</w:t>
              </w:r>
            </w:hyperlink>
          </w:p>
        </w:tc>
        <w:tc>
          <w:tcPr>
            <w:tcW w:w="51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b w:val="1"/>
                <w:bCs w:val="1"/>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PRICE RANGE OF OUR COMMON STOCK</w:t>
              </w:r>
            </w:hyperlink>
          </w:p>
        </w:tc>
        <w:tc>
          <w:tcPr>
            <w:tcW w:w="71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DIVIDEND POLICY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DILUTION</w:t>
              </w:r>
            </w:hyperlink>
          </w:p>
        </w:tc>
        <w:tc>
          <w:tcPr>
            <w:tcW w:w="98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PRINCIPAL STOCKHOLDERS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DESCRIPTION OF CAPITAL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DESCRIPTION OF SECURITIES WE ARE OFFERING</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UNDERWRITING</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LEGAL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5"/>
              </w:rPr>
            </w:pPr>
            <w:hyperlink w:anchor="page31">
              <w:r>
                <w:rPr>
                  <w:rFonts w:ascii="Arial" w:cs="Arial" w:eastAsia="Arial" w:hAnsi="Arial"/>
                  <w:sz w:val="18"/>
                  <w:szCs w:val="18"/>
                  <w:b w:val="1"/>
                  <w:bCs w:val="1"/>
                  <w:color w:val="0000EE"/>
                  <w:w w:val="95"/>
                </w:rPr>
                <w:t>EXPERTS</w:t>
              </w:r>
            </w:hyperlink>
          </w:p>
        </w:tc>
        <w:tc>
          <w:tcPr>
            <w:tcW w:w="99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INCORPORATION OF CERTAIN INFORMATION BY REFERENCE</w:t>
              </w:r>
            </w:hyperlink>
          </w:p>
        </w:tc>
        <w:tc>
          <w:tcPr>
            <w:tcW w:w="52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260" w:type="dxa"/>
            <w:vAlign w:val="bottom"/>
            <w:tcBorders>
              <w:bottom w:val="single" w:sz="8" w:color="0000EE"/>
            </w:tcBorders>
            <w:gridSpan w:val="9"/>
          </w:tcPr>
          <w:p>
            <w:pPr>
              <w:spacing w:after="0" w:line="176" w:lineRule="exact"/>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FINANCIAL STATEMENTS</w:t>
              </w:r>
            </w:hyperlink>
          </w:p>
        </w:tc>
        <w:tc>
          <w:tcPr>
            <w:tcW w:w="8500" w:type="dxa"/>
            <w:vAlign w:val="bottom"/>
            <w:gridSpan w:val="8"/>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and the underwriter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authorized free writing prospectus is current only as of its date, and any information in documents incorporated by reference is current only as of the date of the document incorporated by reference, regardless of its time of delivery or any sale of our securities. Our business, financial condition, results of operations and prospects may have changed since that date.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investors outside the United States: We have not, and the underwriter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416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2175" cy="8416925"/>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 Unless the context requires otherwise, references in this prospectus to “Microbot,” “we,” “us” and “our” refer to Microbot Medical Inc. together with its wholly owned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Microbot has a patent portfolio of 25 issued/allowed patents and 15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combination of a guidewire and microcatheter, technologies that are broadly used for surgery within a</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tubular organ or structure such as a blood vessel or duct.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a unique guidewire delivery system with steering and stiffness control capabilities which when developed is expected to give the physician the ability to control the tip curvature, to adjust tip load to varying</w:t>
      </w:r>
    </w:p>
    <w:p>
      <w:pPr>
        <w:jc w:val="both"/>
        <w:spacing w:after="0" w:line="234" w:lineRule="auto"/>
        <w:rPr>
          <w:sz w:val="20"/>
          <w:szCs w:val="20"/>
          <w:color w:val="auto"/>
        </w:rPr>
      </w:pPr>
      <w:r>
        <w:rPr>
          <w:rFonts w:ascii="Arial" w:cs="Arial" w:eastAsia="Arial" w:hAnsi="Arial"/>
          <w:sz w:val="16"/>
          <w:szCs w:val="16"/>
          <w:color w:val="auto"/>
        </w:rPr>
        <w:t>degrees of stiffness in a gradually continuous manner.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was originally developed to support interventional cardiologists in crossing chronic total occlusions (CTO) during percutaneous coronary intervention (PCI) procedures and has the potential to be used in other spaces and</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applications, such as peripheral intervention, and neurosurgery.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a device based on the technology has successfully completed pre-clinical testing.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TipCAT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439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2175" cy="7439660"/>
                    </a:xfrm>
                    <a:prstGeom prst="rect">
                      <a:avLst/>
                    </a:prstGeom>
                    <a:noFill/>
                  </pic:spPr>
                </pic:pic>
              </a:graphicData>
            </a:graphic>
          </wp:anchor>
        </w:drawing>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6067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2175" cy="6067425"/>
                    </a:xfrm>
                    <a:prstGeom prst="rect">
                      <a:avLst/>
                    </a:prstGeom>
                    <a:noFill/>
                  </pic:spPr>
                </pic:pic>
              </a:graphicData>
            </a:graphic>
          </wp:anchor>
        </w:drawing>
        <w:t>Minimally Invasive Endovascular Neurosurgery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Mechanical thrombectomy has only been approved as a first-line treatment for ischemic stroke since 2016. Prior to such aproval,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7" w:name="page8"/>
    <w:bookmarkEnd w:id="7"/>
    <w:p>
      <w:pPr>
        <w:jc w:val="both"/>
        <w:ind w:firstLine="3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876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2175" cy="7876540"/>
                    </a:xfrm>
                    <a:prstGeom prst="rect">
                      <a:avLst/>
                    </a:prstGeom>
                    <a:noFill/>
                  </pic:spPr>
                </pic:pic>
              </a:graphicData>
            </a:graphic>
          </wp:anchor>
        </w:drawing>
        <w:t>Microbot believes that with its portfolio of technologies specifically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TipCAT, it is well-positioned to explore and develop such technologies as neurovascular access devices, with a focus on improving the ease and access and enhancing the safety of endovascular neurosurgery.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 Microbot believes that the animal study results of its first generation SCS device should be available during the second half of 2019 and we expect to submit that data to the FDA either in a regulatory submission or as part of a pre-submission meeting request, depending on the final results of this ongoing studies.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submitted as part of a 510(k) notification to authorize marketing of the medical device in the U.S.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12"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536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2175" cy="8536940"/>
                    </a:xfrm>
                    <a:prstGeom prst="rect">
                      <a:avLst/>
                    </a:prstGeom>
                    <a:noFill/>
                  </pic:spPr>
                </pic:pic>
              </a:graphicData>
            </a:graphic>
          </wp:anchor>
        </w:drawing>
        <w:t>Risks Associated with Our Business and this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7" w:lineRule="exact"/>
        <w:rPr>
          <w:sz w:val="20"/>
          <w:szCs w:val="20"/>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to raise significant additional capital to support our operations.</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 and our future profitability is uncertain.</w:t>
      </w:r>
    </w:p>
    <w:p>
      <w:pPr>
        <w:spacing w:after="0" w:line="170" w:lineRule="exact"/>
        <w:rPr>
          <w:rFonts w:ascii="Arial" w:cs="Arial" w:eastAsia="Arial" w:hAnsi="Arial"/>
          <w:sz w:val="18"/>
          <w:szCs w:val="18"/>
          <w:color w:val="auto"/>
        </w:rPr>
      </w:pPr>
    </w:p>
    <w:p>
      <w:pPr>
        <w:ind w:left="660" w:hanging="331"/>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23" w:lineRule="exact"/>
        <w:rPr>
          <w:rFonts w:ascii="Arial" w:cs="Arial" w:eastAsia="Arial" w:hAnsi="Arial"/>
          <w:sz w:val="16"/>
          <w:szCs w:val="16"/>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you purchase our securities in this offering, you will incur immediate and substantial dilution.</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4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25 Recreation Park Drive, Unit 108, Hingham, MA 02043. The telephone number at our principal executive office is (781) 875-3605. Our website address is </w:t>
      </w:r>
      <w:r>
        <w:rPr>
          <w:rFonts w:ascii="Arial" w:cs="Arial" w:eastAsia="Arial" w:hAnsi="Arial"/>
          <w:sz w:val="17"/>
          <w:szCs w:val="17"/>
          <w:i w:val="1"/>
          <w:iCs w:val="1"/>
          <w:color w:val="auto"/>
        </w:rPr>
        <w:t>www.microbotmedical.com</w:t>
      </w:r>
      <w:r>
        <w:rPr>
          <w:rFonts w:ascii="Arial" w:cs="Arial" w:eastAsia="Arial" w:hAnsi="Arial"/>
          <w:sz w:val="17"/>
          <w:szCs w:val="17"/>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7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837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2175" cy="8837295"/>
                    </a:xfrm>
                    <a:prstGeom prst="rect">
                      <a:avLst/>
                    </a:prstGeom>
                    <a:noFill/>
                  </pic:spPr>
                </pic:pic>
              </a:graphicData>
            </a:graphic>
          </wp:anchor>
        </w:drawing>
        <w:t>The Offering</w:t>
      </w:r>
    </w:p>
    <w:p>
      <w:pPr>
        <w:sectPr>
          <w:pgSz w:w="11900" w:h="16838" w:orient="portrait"/>
          <w:cols w:equalWidth="0" w:num="1">
            <w:col w:w="11100"/>
          </w:cols>
          <w:pgMar w:left="400" w:top="904" w:right="3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 in this offering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5,865,102 shares.</w:t>
      </w:r>
    </w:p>
    <w:p>
      <w:pPr>
        <w:spacing w:after="0" w:line="211" w:lineRule="exact"/>
        <w:rPr>
          <w:sz w:val="20"/>
          <w:szCs w:val="20"/>
          <w:color w:val="auto"/>
        </w:rPr>
      </w:pPr>
    </w:p>
    <w:p>
      <w:pPr>
        <w:sectPr>
          <w:pgSz w:w="11900" w:h="16838" w:orient="portrait"/>
          <w:cols w:equalWidth="0" w:num="2">
            <w:col w:w="3300" w:space="720"/>
            <w:col w:w="7080"/>
          </w:cols>
          <w:pgMar w:left="400" w:top="904" w:right="3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Pre-funded warrants offered by us in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such purchasers so choose, pre-funded warrants, in lieu of shares of common stock that would otherwise result in any such purchaser’s beneficial ownership exceeding 4.99% (or, at the election of the purchaser, 9.99%) of our outstanding common stock. Each pre-funded warrant will be exercisable for one share of our common stock. The purchase price of each pre-funded warrant will equal the price per share at which the shares of common stock are being sold to the public in this offering, minus $0.01, and the exercise price of each pre-funded warrant will be $0.01 per share. The pre-funded warrants will be exercisable immediately and may be exercised at any time until all of the pre-funded warrants are exercised in full. This offering also relates to the shares of common stock issuable upon exercise of any pre-funded warrants sold in this offering. For each pre-funded warrant we sell, the number of shares of common stock we are offering will be decreased on a one-for-one basis.</w:t>
      </w:r>
    </w:p>
    <w:p>
      <w:pPr>
        <w:spacing w:after="0" w:line="169" w:lineRule="exact"/>
        <w:rPr>
          <w:sz w:val="20"/>
          <w:szCs w:val="20"/>
          <w:color w:val="auto"/>
        </w:rPr>
      </w:pPr>
    </w:p>
    <w:p>
      <w:pPr>
        <w:sectPr>
          <w:pgSz w:w="11900" w:h="16838" w:orient="portrait"/>
          <w:cols w:equalWidth="0" w:num="2">
            <w:col w:w="3580" w:space="440"/>
            <w:col w:w="7080"/>
          </w:cols>
          <w:pgMar w:left="400" w:top="904" w:right="399" w:bottom="1440" w:gutter="0" w:footer="0" w:header="0"/>
          <w:type w:val="continuous"/>
        </w:sectPr>
      </w:pPr>
    </w:p>
    <w:p>
      <w:pPr>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underwriter has an option to purchase up to an additional 879,765 shares of our common stock at the public offering price, less underwriting discounts and commissions, to cover over-allotments, if any. The underwriter may exercise this option for a period of 30 days from the date of this prospectus.</w:t>
      </w:r>
    </w:p>
    <w:p>
      <w:pPr>
        <w:spacing w:after="0" w:line="187" w:lineRule="exact"/>
        <w:rPr>
          <w:sz w:val="20"/>
          <w:szCs w:val="20"/>
          <w:color w:val="auto"/>
        </w:rPr>
      </w:pPr>
    </w:p>
    <w:p>
      <w:pPr>
        <w:sectPr>
          <w:pgSz w:w="11900" w:h="16838" w:orient="portrait"/>
          <w:cols w:equalWidth="0" w:num="2">
            <w:col w:w="3300" w:space="720"/>
            <w:col w:w="7080"/>
          </w:cols>
          <w:pgMar w:left="400" w:top="904" w:right="399" w:bottom="1440" w:gutter="0" w:footer="0" w:header="0"/>
          <w:type w:val="continuous"/>
        </w:sect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8,840,778 shares of common stock, assuming no sale of any pre-funded warrants (or 9,720,543 shares of common stock if the underwriter exercises in full its option to purchase additional shares of common stock, assuming no sale of pre-funded warrants).</w:t>
      </w:r>
    </w:p>
    <w:p>
      <w:pPr>
        <w:spacing w:after="0" w:line="181" w:lineRule="exact"/>
        <w:rPr>
          <w:sz w:val="20"/>
          <w:szCs w:val="20"/>
          <w:color w:val="auto"/>
        </w:rPr>
      </w:pPr>
    </w:p>
    <w:p>
      <w:pPr>
        <w:sectPr>
          <w:pgSz w:w="11900" w:h="16838" w:orient="portrait"/>
          <w:cols w:equalWidth="0" w:num="2">
            <w:col w:w="3680" w:space="340"/>
            <w:col w:w="7080"/>
          </w:cols>
          <w:pgMar w:left="400" w:top="904" w:right="39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6"/>
          <w:szCs w:val="16"/>
          <w:color w:val="auto"/>
        </w:rPr>
        <w:t>We intend to use the net proceeds from this offering for attaining regulatory approvals for and commercializing our SCS device in the treatment of hydrocephalus and NPH; expanding and developing the applications of our existing ViRob and SCS IP and prototypes into other areas of</w:t>
      </w:r>
    </w:p>
    <w:p>
      <w:pPr>
        <w:spacing w:after="0" w:line="1" w:lineRule="exact"/>
        <w:rPr>
          <w:sz w:val="20"/>
          <w:szCs w:val="20"/>
          <w:color w:val="auto"/>
        </w:rPr>
      </w:pPr>
    </w:p>
    <w:p>
      <w:pPr>
        <w:sectPr>
          <w:pgSz w:w="11900" w:h="16838" w:orient="portrait"/>
          <w:cols w:equalWidth="0" w:num="2">
            <w:col w:w="3300" w:space="720"/>
            <w:col w:w="7080"/>
          </w:cols>
          <w:pgMar w:left="400" w:top="904" w:right="399" w:bottom="1440" w:gutter="0" w:footer="0" w:header="0"/>
          <w:type w:val="continuous"/>
        </w:sectPr>
      </w:pPr>
    </w:p>
    <w:p>
      <w:pPr>
        <w:jc w:val="both"/>
        <w:ind w:left="4020" w:right="20"/>
        <w:spacing w:after="0" w:line="329" w:lineRule="auto"/>
        <w:rPr>
          <w:sz w:val="20"/>
          <w:szCs w:val="20"/>
          <w:color w:val="auto"/>
        </w:rPr>
      </w:pPr>
      <w:r>
        <w:rPr>
          <w:rFonts w:ascii="Arial" w:cs="Arial" w:eastAsia="Arial" w:hAnsi="Arial"/>
          <w:sz w:val="16"/>
          <w:szCs w:val="16"/>
          <w:color w:val="auto"/>
        </w:rPr>
        <w:t>CSF management, such as EVD, through regulatory submission; developing the CardioSert</w:t>
      </w:r>
      <w:r>
        <w:rPr>
          <w:rFonts w:ascii="Arial" w:cs="Arial" w:eastAsia="Arial" w:hAnsi="Arial"/>
          <w:sz w:val="13"/>
          <w:szCs w:val="13"/>
          <w:color w:val="auto"/>
        </w:rPr>
        <w:t>TM</w:t>
      </w:r>
      <w:r>
        <w:rPr>
          <w:rFonts w:ascii="Arial" w:cs="Arial" w:eastAsia="Arial" w:hAnsi="Arial"/>
          <w:sz w:val="16"/>
          <w:szCs w:val="16"/>
          <w:color w:val="auto"/>
        </w:rPr>
        <w:t xml:space="preserve"> technology for neurovascular disorders from proof of concept to pre-clinical studies; and for working capital and other general corporate purposes. See “Use of Proceeds.”</w:t>
      </w:r>
    </w:p>
    <w:p>
      <w:pPr>
        <w:sectPr>
          <w:pgSz w:w="11900" w:h="16838" w:orient="portrait"/>
          <w:cols w:equalWidth="0" w:num="1">
            <w:col w:w="11100"/>
          </w:cols>
          <w:pgMar w:left="400" w:top="904" w:right="39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You should read the “Risk Factors” section of this prospectus for a discussion of certain of the factors to consider carefully before deciding to purchase any shares of our common stock or pre-funded warrants in this offering.</w:t>
      </w:r>
    </w:p>
    <w:p>
      <w:pPr>
        <w:spacing w:after="0" w:line="181" w:lineRule="exact"/>
        <w:rPr>
          <w:sz w:val="20"/>
          <w:szCs w:val="20"/>
          <w:color w:val="auto"/>
        </w:rPr>
      </w:pPr>
    </w:p>
    <w:p>
      <w:pPr>
        <w:sectPr>
          <w:pgSz w:w="11900" w:h="16838" w:orient="portrait"/>
          <w:cols w:equalWidth="0" w:num="2">
            <w:col w:w="3300" w:space="720"/>
            <w:col w:w="7080"/>
          </w:cols>
          <w:pgMar w:left="400" w:top="904" w:right="399" w:bottom="1440" w:gutter="0" w:footer="0" w:header="0"/>
          <w:type w:val="continuous"/>
        </w:sectPr>
      </w:pPr>
    </w:p>
    <w:p>
      <w:pPr>
        <w:spacing w:after="0"/>
        <w:rPr>
          <w:sz w:val="20"/>
          <w:szCs w:val="20"/>
          <w:color w:val="auto"/>
        </w:rPr>
      </w:pPr>
      <w:r>
        <w:rPr>
          <w:rFonts w:ascii="Arial" w:cs="Arial" w:eastAsia="Arial" w:hAnsi="Arial"/>
          <w:sz w:val="16"/>
          <w:szCs w:val="16"/>
          <w:color w:val="auto"/>
        </w:rPr>
        <w:t>National Securities Exchange Listing</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Our common stock is listed on The Nasdaq Capital Market under the symbol “MBOT.” We do not intend to list the pre-funded warrants on any securities exchange or nationally recognized trading system.</w:t>
      </w:r>
    </w:p>
    <w:p>
      <w:pPr>
        <w:spacing w:after="0" w:line="181" w:lineRule="exact"/>
        <w:rPr>
          <w:sz w:val="20"/>
          <w:szCs w:val="20"/>
          <w:color w:val="auto"/>
        </w:rPr>
      </w:pPr>
    </w:p>
    <w:p>
      <w:pPr>
        <w:sectPr>
          <w:pgSz w:w="11900" w:h="16838" w:orient="portrait"/>
          <w:cols w:equalWidth="0" w:num="2">
            <w:col w:w="3300" w:space="720"/>
            <w:col w:w="7080"/>
          </w:cols>
          <w:pgMar w:left="400" w:top="904"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The number of shares of our common stock to be outstanding after this offering is based on 2,975,676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 and excludes, as of September 30, 2018:</w:t>
      </w:r>
    </w:p>
    <w:p>
      <w:pPr>
        <w:spacing w:after="0" w:line="211" w:lineRule="exact"/>
        <w:rPr>
          <w:sz w:val="20"/>
          <w:szCs w:val="20"/>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 2 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211,239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$1,697 per share; and</w:t>
      </w:r>
    </w:p>
    <w:p>
      <w:pPr>
        <w:spacing w:after="0" w:line="170"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aggregate of approximately 36,667 shares of our common stock issuable upon the conversion of 550 shares of our Series A Convertible Preferred Stock.</w:t>
      </w:r>
    </w:p>
    <w:p>
      <w:pPr>
        <w:spacing w:after="0" w:line="17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Unless otherwise indicated, all information contained in this prospectus assumes no exercise by the underwriter of its over-allotment option, no sale of any pre-funded warrants in this offering and no exercise by the underwriter of its warrants to purchase up to 337,243 shares of our common stock (including the number of shares of common stock issuable upon exercise of the option to purchase additional securities) at an exercise price per share which is equal to 125% of the public offering price per share of the shares of common stock offered in this offering.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Investing in our securities involves a high degree of risk. You should consider carefully the risks described below, together with all of the other information included or incorporated by reference in this prospectus, including the risks and uncertainties discussed under “Risk Factors” in our Annual Report on Form 10-K for the fiscal year ended December 31, 2017,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and the value of the warrants to decline, resulting in a loss of all or part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generating commercial sales of SCS,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SCS,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following clearance or approval.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jc w:val="both"/>
        <w:ind w:firstLine="324"/>
        <w:spacing w:after="0" w:line="302" w:lineRule="auto"/>
        <w:rPr>
          <w:sz w:val="20"/>
          <w:szCs w:val="20"/>
          <w:color w:val="auto"/>
        </w:rPr>
      </w:pPr>
      <w:r>
        <w:rPr>
          <w:rFonts w:ascii="Arial" w:cs="Arial" w:eastAsia="Arial" w:hAnsi="Arial"/>
          <w:sz w:val="16"/>
          <w:szCs w:val="16"/>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if you purchase securities in this offering.</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September 30, 2018, our net tangible book value was approximately $ 6.57 million, or $ 2.2066 per share. Since the price per share of our common stock being offered in this offering is substantially higher than the net tangible book value per share of our common stock, you will suffer substantial dilution with respect to the net tangible book value of the common stock you purchase in this offering. Based on the assumed public offering price of $ 3.41 per share of common stock being sold in this offering (the last reported sale price of our common stock on The Nasdaq Capital Market on November 16 , 2018), and our net tangible book value per share as of September 30, 2018, if you purchase shares of common stock in this offering, you will suffer immediate and substantial dilution of $ 0.6421 per share with respect to the net tangible book value of the common stock. See the section entitled “Dilution” for a more detailed discussion of the dilution you will incur if you purchase common stock in this offering. The discussion above assumes (i) no sale of pre-funded warrants, which, if sold, would reduce the number of shares of common stock that we are offering on a one-for-one basis until such warrants are exercised and (ii) no exercise by the underwriter of the Underwriter’s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 and our use of proceeds from this offering.</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been set for February 11, 2019.</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324"/>
        <w:spacing w:after="0" w:line="273" w:lineRule="auto"/>
        <w:rPr>
          <w:sz w:val="20"/>
          <w:szCs w:val="20"/>
          <w:color w:val="auto"/>
        </w:rPr>
      </w:pPr>
      <w:r>
        <w:rPr>
          <w:rFonts w:ascii="Arial" w:cs="Arial" w:eastAsia="Arial" w:hAnsi="Arial"/>
          <w:sz w:val="17"/>
          <w:szCs w:val="17"/>
          <w:color w:val="auto"/>
        </w:rPr>
        <w:t>We believe that the claims are without merit and have been and intend to continue to defend the action vigorously. However,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of our securities or other dilution of our equity, which may adversely affect the market price of our common stock.</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pre-funded warrants purchased in this offering will have no rights as common stockholders until such holders exercise their pre-funded warrants and acquire our common stock.</w:t>
      </w:r>
    </w:p>
    <w:p>
      <w:pPr>
        <w:spacing w:after="0" w:line="1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Until holders of pre-funded warrants acquire shares of our common stock upon exercise of the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continue operations, which may not be available on acceptable terms, or at all. Failure to obtain this necessary capital when needed may force us to delay, limit or terminate our product development efforts or other operations.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 2018, we had cash and cash equivalents of approximately $ 6.7 million. We estimate that we will receive net proceeds of approximately $ 17.9 million from the sale of the securities offered by us in this offering, based on the assumed public offering price of $ 3.41 per share (the last reported sale price of our common stock on The Nasdaq Capital Market on November 16 , 2018) and after deducting the estimated underwriting discounts and commissions and estimated offering expenses payable by us, and excluding the proceeds, if any, from the exercise of the pre-funded warrants issued pursuant to this offering. In the event of a decrease in the net proceeds to us from this offering as a result of a decrease in the assumed public offering price or the number of shares offered by us, if the Plaintiffs succeed in the Matter or if our use of proceeds changes from our plans as described under “Use of Proceeds”, we may need to raise additional capital sooner than we anticipate. In addition, we cannot provide assurances that our plans will not change or that changed circumstances will not result in the depletion of our capital resources more rapidly than we currently anticipate.</w:t>
      </w:r>
    </w:p>
    <w:p>
      <w:pPr>
        <w:spacing w:after="0" w:line="1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capital requirements and needs for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and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or otherwise secure the manufacture of, sufficient amounts of our product candidates for our preclinical studies and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find and develop applications for our technologies for other neurosurgical conditions besides hydrocephalus;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development and other research and development plans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regulatory pathways for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and timing of submissions to and decisions made by the U.S. Food and Drug Administration and other regulatory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the experience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keep management and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capacities and performance of our suppliers, manufacturers and other third parties over whom we have limited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of our competitors and success of competing products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with respect to future growth and investments in our infrastructure, and our ability to effectively manage any such growth;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size and potential growth of the markets for any of our product candidates, and our ability to capture share in or impact the size of those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any litigation in which we or any of our officers or directors may be involved, including with respect to the Matter;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government regulation and regulatory developments, and our ability and the ability of the third parties with whom we engage to comply with applicable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future planned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achieve and maintain effective internal control over financial reporting in accordance with Section 404 of the Sarbanes-Oxley Act;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maintain and successfully enforce adequate patent and other intellectual property protection of any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w:t>
      </w:r>
    </w:p>
    <w:p>
      <w:pPr>
        <w:sectPr>
          <w:pgSz w:w="11900" w:h="16838" w:orient="portrait"/>
          <w:cols w:equalWidth="0" w:num="1">
            <w:col w:w="11420"/>
          </w:cols>
          <w:pgMar w:left="240" w:top="661" w:right="239" w:bottom="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review of, all potentially available relevant information. These statements are inherently uncertain. Given these uncertainties, you should not place undue reliance on these forward-looking statements.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of approximately $ 17.9 million (or approximately $ 20.7 million if the underwriter’s over-allotment option is exercised in full) from the sale of the securities offered by us in this offering, based on the assumed public offering price of $ 3.41 per share (the last reported sale price of our common stock on The Nasdaq Capital Market on November 16 , 2018), and after deducting the estimated underwriting discounts and commissions and estimated offering expenses payable by us, and excluding the proceeds, if any, from the exercise of any pre-funded warrants issued pursuant to this offering.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$ 0.25 increase (decrease) in the assumed public offering price of $ 3.41 per share would increase (decrease) the expected net proceeds to us from this offering by approximately $ 1.4 million, assuming that the number of shares offered by us, as set forth on the cover page of this prospectus, remains the same and after deducting the estimated underwriting discounts and commissions and estimated offering expenses payable by us and excluding the proceeds, if any, from the exercise of the pre-funded warrants issued pursuant to this offering.</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Similarly, a one million share increase (decrease) in the number of shares offered by us, as set forth on the cover page of this prospectus, would increase (decrease) the net proceeds to us by approximately $ 3.1 million, assuming the assumed public offering price of $ 3.41 per share remains the same, and after deducting estimated underwriting discounts and commissions and estimated offering expenses payable by us and excluding the proceeds, if any, from the exercise of the pre-funded warrants issued pursuant to this offering.</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currently intend to use the net proceeds from this offering for attaining regulatory approvals for and commercializing our SCS device in the treatment of hydrocephalus and NPH; expanding and developing the applications of our existing ViRob and SCS IP and prototypes into other areas of CSF</w:t>
      </w:r>
    </w:p>
    <w:p>
      <w:pPr>
        <w:jc w:val="both"/>
        <w:spacing w:after="0" w:line="229" w:lineRule="auto"/>
        <w:rPr>
          <w:sz w:val="20"/>
          <w:szCs w:val="20"/>
          <w:color w:val="auto"/>
        </w:rPr>
      </w:pPr>
      <w:r>
        <w:rPr>
          <w:rFonts w:ascii="Arial" w:cs="Arial" w:eastAsia="Arial" w:hAnsi="Arial"/>
          <w:sz w:val="18"/>
          <w:szCs w:val="18"/>
          <w:color w:val="auto"/>
        </w:rPr>
        <w:t>management, such as EVD, through regulatory submission; developing the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for neurovascular disorders from proof of concept to pre-clinical studies; and for working capital and other general corporate purposes. See “Risk Factors” for a discussion of certain risks that may affect our intended use of the net proceeds from this offering, including with respect to the Matter. We may also use a portion of the net proceeds from this offering to in-license, acquire, or invest in complementary businesses, technologies, products or assets. However, we have no current commitments or obligations to do so.</w:t>
      </w:r>
    </w:p>
    <w:p>
      <w:pPr>
        <w:spacing w:after="0" w:line="2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currently anticipate that our existing resources, together with the expected net proceeds from this offering, will be sufficient to fund our planned operations until December 2021.</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currently allocate specific percentages of the net proceeds that we may use for the purposes specified above, and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Pending the use of the net proceeds from this offering, we intend to invest the net proceeds in investment-grade, interest-bearing instruments.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“MBOT.” On November 16 , 2018, the closing price for our common stock as reported on The Nasdaq Capital Market was $ 3.41 per share. The following table sets forth the ranges of high and low sales prices per share of our common stock as reported on The Nasdaq Capital Market for the period indicated. Such quotations represent inter-dealer prices without retail markup, markdown or commission and may not necessarily represent actual transactions.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Low(1)</w:t>
            </w:r>
          </w:p>
        </w:tc>
      </w:tr>
      <w:tr>
        <w:trPr>
          <w:trHeight w:val="216"/>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First Quarter</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149.10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Third Quarter</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Year Ending December 31, 2018</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Second Quarter</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Fourth Quarter (through November 16 , 2018)</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128270</wp:posOffset>
            </wp:positionV>
            <wp:extent cx="21437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760" cy="17145"/>
                    </a:xfrm>
                    <a:prstGeom prst="rect">
                      <a:avLst/>
                    </a:prstGeom>
                    <a:noFill/>
                  </pic:spPr>
                </pic:pic>
              </a:graphicData>
            </a:graphic>
          </wp:anchor>
        </w:drawing>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Adjusted for our one-for-fifteen reverse stock split on September 4, 2018.</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November 16 , 2018, there were approximately 184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historical net tangible book value as of September 30, 2018 was approximately $ 6.57 million, or $ 2.2066 per share of common stock. Our historical net tangible book value is the amount of our total tangible assets less our liabilities. Historical net tangible book value per common share is our historical net tangible book value divided by the number of shares of common stock outstanding as of September 30, 2018.</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After giving effect to the sale of 5,865,102 shares of our common stock at the assumed public offering price of $ 3.41 per share (the last reported sale price of our common stock on The Nasdaq Capital Market on November 16 , 2018), and after deducting the estimated underwriting discounts and commissions and estimated offering expenses payable by us, and excluding the proceeds, if any, from the exercise of any pre-funded warrants issued pursuant to this offering, our as adjusted net tangible book value as of September 30, 2018 would have been approximately $ 24.5 million, or $ 2.7679 per share of common stock. This represents an immediate increase in as adjusted net tangible book value of $ 0.5613 per share to our existing stockholders, and an immediate dilution of $ 0.6421 per share to new investors purchasing securities in this offering at the assumed public offering price.</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Historical net tangible book value per share as of September 30, 2018</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2.2066</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6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increase in net tangible book value per share attributable to</w:t>
            </w: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investors in this offering</w:t>
            </w:r>
          </w:p>
        </w:tc>
        <w:tc>
          <w:tcPr>
            <w:tcW w:w="1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0.5613</w:t>
            </w: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6220" w:type="dxa"/>
            <w:vAlign w:val="bottom"/>
          </w:tcPr>
          <w:p>
            <w:pPr>
              <w:spacing w:after="0" w:line="203" w:lineRule="exact"/>
              <w:rPr>
                <w:sz w:val="20"/>
                <w:szCs w:val="20"/>
                <w:color w:val="auto"/>
              </w:rPr>
            </w:pPr>
            <w:r>
              <w:rPr>
                <w:rFonts w:ascii="Arial" w:cs="Arial" w:eastAsia="Arial" w:hAnsi="Arial"/>
                <w:sz w:val="18"/>
                <w:szCs w:val="18"/>
                <w:color w:val="auto"/>
              </w:rPr>
              <w:t>As adjusted net tangible book value per share after this offering</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2.7679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6421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underwriter exercises in full its option to purchase up to 879,765 additional shares of common stock at the assumed public offering price of $ 3.41 per share (the last reported sale price of our common stock on The Nasdaq Capital Market on November 16 , 2018), the as adjusted net tangible book value after this offering would be approximately $27.2 million, or $ 2.8013 per share, representing an increase in net tangible book value of $ 0.5947 per share to existing stockholders and immediate dilution in net tangible book value of $ 0.6087 per share to investors purchasing our securities in this offering at the assumed public offering price.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$0.25 increase (decrease) in the assumed public offering price of $3.41 per share of common stock would increase (decrease) the as adjusted net tangible book value by $0.1527 per share of common stock and the dilution to new investors by $0.0973 per share, assuming that the number of shares offered by us, as set forth on the cover page of this prospectus, remains the same, after deducting the estimated placement agent fees and expenses and estimated offering expenses payable by us.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also increase or decrease the number of shares we are offering. An increase of 1,000,000 shares offered by us, as set forth on the cover page of this prospectus, would increase our as adjusted net tangible book value by approximately $3.1 million, or approximately $0.0378 per share of common stock, and decrease the dilution per share to investors in this offering by approximately $0.0378 per share, assuming that the assumed public offering price per share of common stock remains the same, and after deducting the estimated placement agent fees and expenses and estimated offering expenses payable by us. Similarly, a decrease of 1,000,000 shares offered by us, as set forth on the cover page of this prospectus, would decrease our as adjusted net tangible book value by approximately $3.1 million, or approximately $0.0471 per share, and increase the dilution per share to investors in this offering by approximately $0.0471 per share, assuming that the assumed public offering price per share of common stock remains the same, and after deducting the estimated placement agent fees and expenses and estimated offering expenses payable by us. The information discussed above is illustrative only and will adjust based on the actual public offering price, the actual number of shares of common stock that we offer in this offering, our actual expenses, and other terms of this offering determined at pricing.</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foregoing discussion and table does not take into account further dilution to investors in this offering that could occur upon the exercise of outstanding options and warrants, including the pre-funded warrants offered pursuant to this offering and the Underwriter’s Warrants, having a per share exercise price less than the public offering price per share in this offering.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foregoing discussion and table are based on 2,9 7 5,676 shares of common stock outstanding as of September 30, 2018, and excludes,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211"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4 2 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211,239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$1,967 per share;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aggregate of approximately 36,667 shares of our common stock issuable upon the conversion of 550 shares of our Series A Convertible Preferred Stock.</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options, warrants or other convertible securities outstanding as of September 30, 2018 have been or may be exercised, converted or other shares issued, investors purchasing securities in this offering may experience further dilution. In addition, we may seek to raise additional capital in the future through the sale of equity or convertible debt securities. To the extent that additional capital is raised through the sale of equity or convertible debt securities, the issuance of these securities could result in further dilution to our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842"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as of November 16 , 2018, by:</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those known by us to be to a beneficial owner of more than 5% of the Company’s common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“beneficial ownership” refers to shares that an individual or entity has the power to vote or dispose of, and any rights to acquire common stock that are currently exercisable or will become exercisable within 60 days of November 16 , 2018. We calculated percentage ownership in accordance with the rules of the SEC. The percentage of common stock beneficially owned is based on 2,975,676 shares outstanding as of November 16 , 2018. In addition, shares issuable pursuant to options or other convertible securities that may be acquired within 60 days of November 16 , 2018 are deemed to be issued and outstanding and have been treated as outstanding in calculating and determining the beneficial ownership and percentage ownership of those persons possessing those securities, but not for any other persons.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Percentage of Common Stock</w:t>
            </w:r>
          </w:p>
        </w:tc>
      </w:tr>
      <w:tr>
        <w:trPr>
          <w:trHeight w:val="241"/>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c>
          <w:tcPr>
            <w:tcW w:w="3940" w:type="dxa"/>
            <w:vAlign w:val="bottom"/>
            <w:gridSpan w:val="4"/>
          </w:tcPr>
          <w:p>
            <w:pPr>
              <w:jc w:val="right"/>
              <w:ind w:right="1300"/>
              <w:spacing w:after="0"/>
              <w:rPr>
                <w:sz w:val="20"/>
                <w:szCs w:val="20"/>
                <w:color w:val="auto"/>
              </w:rPr>
            </w:pPr>
            <w:r>
              <w:rPr>
                <w:rFonts w:ascii="Arial" w:cs="Arial" w:eastAsia="Arial" w:hAnsi="Arial"/>
                <w:sz w:val="18"/>
                <w:szCs w:val="18"/>
                <w:b w:val="1"/>
                <w:bCs w:val="1"/>
                <w:color w:val="auto"/>
              </w:rPr>
              <w:t>Beneficially Owned</w:t>
            </w:r>
          </w:p>
        </w:tc>
      </w:tr>
      <w:tr>
        <w:trPr>
          <w:trHeight w:val="237"/>
        </w:trPr>
        <w:tc>
          <w:tcPr>
            <w:tcW w:w="5220" w:type="dxa"/>
            <w:vAlign w:val="bottom"/>
            <w:gridSpan w:val="2"/>
          </w:tcPr>
          <w:p>
            <w:pPr>
              <w:ind w:left="1840"/>
              <w:spacing w:after="0"/>
              <w:rPr>
                <w:sz w:val="20"/>
                <w:szCs w:val="20"/>
                <w:color w:val="auto"/>
              </w:rPr>
            </w:pPr>
            <w:r>
              <w:rPr>
                <w:rFonts w:ascii="Arial" w:cs="Arial" w:eastAsia="Arial" w:hAnsi="Arial"/>
                <w:sz w:val="18"/>
                <w:szCs w:val="18"/>
                <w:b w:val="1"/>
                <w:bCs w:val="1"/>
                <w:color w:val="auto"/>
              </w:rPr>
              <w:t>Beneficial Owner</w:t>
            </w: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Beneficially Owned</w:t>
            </w:r>
          </w:p>
        </w:tc>
        <w:tc>
          <w:tcPr>
            <w:tcW w:w="20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Before Offering</w:t>
            </w:r>
          </w:p>
        </w:tc>
        <w:tc>
          <w:tcPr>
            <w:tcW w:w="1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After Offering(1)</w:t>
            </w:r>
          </w:p>
        </w:tc>
        <w:tc>
          <w:tcPr>
            <w:tcW w:w="160" w:type="dxa"/>
            <w:vAlign w:val="bottom"/>
          </w:tcPr>
          <w:p>
            <w:pPr>
              <w:spacing w:after="0"/>
              <w:rPr>
                <w:sz w:val="20"/>
                <w:szCs w:val="20"/>
                <w:color w:val="auto"/>
              </w:rPr>
            </w:pP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303,384</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9.78%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Waizer</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(4)</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299,710</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10.07%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(3)</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1,016</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Yehezkel (Hezi) Himelfarb</w:t>
            </w:r>
            <w:r>
              <w:rPr>
                <w:rFonts w:ascii="Arial" w:cs="Arial" w:eastAsia="Arial" w:hAnsi="Arial"/>
                <w:sz w:val="29"/>
                <w:szCs w:val="29"/>
                <w:color w:val="auto"/>
                <w:vertAlign w:val="superscript"/>
              </w:rPr>
              <w:t>(3)</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29,004</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w w:val="95"/>
              </w:rPr>
              <w:t>All current directors and executive officers as a group (8 persons)</w:t>
            </w:r>
            <w:r>
              <w:rPr>
                <w:rFonts w:ascii="Arial" w:cs="Arial" w:eastAsia="Arial" w:hAnsi="Arial"/>
                <w:sz w:val="29"/>
                <w:szCs w:val="29"/>
                <w:color w:val="auto"/>
                <w:w w:val="95"/>
                <w:vertAlign w:val="superscript"/>
              </w:rPr>
              <w:t>(5)</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638,162</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20.33%</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7.09%</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Shareholders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LSA - Life Science Accelerator Ltd.</w:t>
            </w:r>
            <w:r>
              <w:rPr>
                <w:rFonts w:ascii="Arial" w:cs="Arial" w:eastAsia="Arial" w:hAnsi="Arial"/>
                <w:sz w:val="29"/>
                <w:szCs w:val="29"/>
                <w:color w:val="auto"/>
                <w:vertAlign w:val="superscript"/>
              </w:rPr>
              <w:t>(4)</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299,710</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10.07%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MEDX Ventures Group LLC</w:t>
            </w:r>
            <w:r>
              <w:rPr>
                <w:rFonts w:ascii="Arial" w:cs="Arial" w:eastAsia="Arial" w:hAnsi="Arial"/>
                <w:sz w:val="29"/>
                <w:szCs w:val="29"/>
                <w:color w:val="auto"/>
                <w:vertAlign w:val="superscript"/>
              </w:rPr>
              <w:t>(6)</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254,711</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Saber Holding GmbH</w:t>
            </w:r>
            <w:r>
              <w:rPr>
                <w:rFonts w:ascii="Arial" w:cs="Arial" w:eastAsia="Arial" w:hAnsi="Arial"/>
                <w:sz w:val="29"/>
                <w:szCs w:val="29"/>
                <w:color w:val="auto"/>
                <w:vertAlign w:val="superscript"/>
              </w:rPr>
              <w:t>(7)</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287,134</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9.65%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Moshe Shoham</w:t>
            </w:r>
            <w:r>
              <w:rPr>
                <w:rFonts w:ascii="Arial" w:cs="Arial" w:eastAsia="Arial" w:hAnsi="Arial"/>
                <w:sz w:val="29"/>
                <w:szCs w:val="29"/>
                <w:color w:val="auto"/>
                <w:vertAlign w:val="superscript"/>
              </w:rPr>
              <w:t>(8)</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159,636</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line="28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Assumes the sale of 5,865,102 shares of our common stock and common stock underlying pre-funded warrants offered by us in this offering and does not include any shares of our common stock underlying the underwriter’s option to cover over-allotments, or underlying the Underwriter’s Warrants.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and 48,673 shares of our common stock issuable upon the exercise of options granted to Mr. Gadot. All of such shares and 77,864 options are held by MEDX Ventures Group LLC, which is beneficially owned by Mr. Gadot. See Note 6 below.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1,016 shares of our common stock issuable upon exercise of options.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48,673 shares of our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55,743 shares of our common stock issuable upon the exercise of options.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721"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the date of this prospectus, we are authorized to issue up to 221,000,000 shares of capital stock, par value $0.01 per share, divided into two classes designated, respectively, “common stock” and undesignated “preferred stock.” Of such shares authorized, 220,000,000 shares are designated as common stock, and 1,000,000 shares are designated as undesignated preferred stock.</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is a summary of the material terms of our capital stock and certain provisions of our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“Where You Can Find Additional Information” below. The summary below is also qualified by provisions of applicable law.</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September 4, 2018, we filed a Certificate of Amendment (the “Amendment”) to our Restated Certificate of Incorporation to implement a 1-for-15 reverse split of our common stock (the “Reverse Stock Split”). As a result of the Reverse Stock Split, each fifteen shares of our issued and outstanding common stock were automatically combined and converted into one issued and outstanding share of common stock. The Reverse Stock Split affected all issued and outstanding shares of the Company’s common stock and preferred stock, as well as common stock underlying stock options, preferred stock and warrants outstanding immediately prior to the effectiveness of the Reverse Stock Split. The Amendment did not decrease the number of authorized shares of the Company’s common stock, nor did it alter the par value of common stock, which remained at $0.01 per share, or modify any voting rights or other terms of our common stock or preferred stock. Unless otherwise indicated, all information set forth in this prospectus gives effect to the Reverse Stock Split.</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November 16 , 2018, there were 2,975,676 shares of common stock outstanding that were held of record by approximately 184 stockholders, although we believe that there is a significantly larger number of beneficial owners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authority to issue up to 1,000,000 shares of preferred stock, par value $0.01 per share. As of September 30, 2018, we had 550 shares of Series A Convertible Preferred Stock issued and outstanding that can convert into an aggregate of approximately 36,667 shares of our common stock. As of the date of this prospectus, no other shares of our preferred stock were outstanding or designated.</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7"/>
          <w:szCs w:val="17"/>
          <w:color w:val="auto"/>
        </w:rPr>
        <w:t>If we issue a specific series of preferred stock, we will file a copy of the certificate establishing the terms of the preferred stock with the Secretary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 of the State of Delaware and with the SEC. To the extent required, this description will include:</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2016 and May 2017, we filed a Certificate of Designation of Preferences, Rights and Limitations of Series A Convertible Preferred Stock, or the Series A Certificate of Designation, with the Secretary of State of the State of Delaware, establishing and designating an aggregate of 12,991 shares of the Series A Preferred Stock. Each share of Series A Preferred Stock is convertible, at any time at the option of the holder thereof, into 1,000 shares of common stock, subject to certain adjustments and subject to the ownership limitation described below. The Series A Preferred Stock has no sinking provisions, dividend rights, liquidation preference or other preferences over common stock and has no voting rights except as provided in the Series A Certificate of Designation or as otherwise required by law.</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Series A Preferred Stock contains limitations that prevent the holder from acquiring shares upon conversion of shares of series A preferred stock that would result in the number of shares beneficially owned by the holder and its affiliates exceeding 4.99% of the total number of shares of our common stock then issued and outstanding, which limitation may be increased to 9.99% at the option of the holder. In addition, upon certain changes in control of Microbot, holders of shares of Series A Preferred Stock can elect to receive, subject to certain limitations and assumptions, securities in a successor entity equal to the value of the holders’ Series A Preferred Stock, or if holders of common stock are given a choice of cash or property, then cash or property equal to the value of the holder’s outstanding Series A Preferred Stock.</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2018, we had 550 shares of Series A Preferred Stock issued and outstanding, convertible into an aggregate of approximately 36,667 shares of our common stock, and no shares of Series A Preferred Stock are available for issuance.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2018, we had outstanding:</w:t>
      </w:r>
    </w:p>
    <w:p>
      <w:pPr>
        <w:spacing w:after="0" w:line="22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approximately 2,770 shares of our common stock at an exercise price of approximately $40.00 per share, which are exercisable through March 14, 2022, and which are subject to “full ratchet” price-based anti-dilution adjustments;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approximately 683 shares of our common stock at an exercise price of approximately $1,363 per share, which are exercisable through April 30, 2020;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approximately 183 shares of our common stock at an exercise price of approximately $2,725 per share, which are exercisable through April 9,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420"/>
          </w:cols>
          <w:pgMar w:left="240" w:top="665" w:right="239" w:bottom="63" w:gutter="0" w:footer="0" w:header="0"/>
        </w:sectPr>
      </w:pPr>
    </w:p>
    <w:bookmarkStart w:id="23" w:name="page24"/>
    <w:bookmarkEnd w:id="23"/>
    <w:p>
      <w:pPr>
        <w:ind w:firstLine="360"/>
        <w:spacing w:after="0" w:line="280"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Meidinger Tower, 462 South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Louisville, KY 40202.</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are offering 5,865,102 shares of our common stock or pre-funded warrants to purchase shares of our common stock. The shares of common stock or pre-funded warrants will be issued separately. We are also registering the shares of common stock issuable from time to time upon exercise of the pre-funded warrants offered 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material terms and provisions of our common stock and each other class of our securities which qualifies or limits our common stock are described under the caption “Description of Capital Stock”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Each pre-funded warrant offered hereby will have an initial exercise price per share equal to $0.01. The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pre-funded warrants will be exercisable, at the option of each holder, in whole or in part, by delivering to us a duly executed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pre-funded warrants, a registration statement registering the issuance of the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 pre-funded warrant may be transferred at the option of the holder upon surrender of the pre-funded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to us together with the appropriate instruments of transfer.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Exchange Listing. </w:t>
      </w:r>
      <w:r>
        <w:rPr>
          <w:rFonts w:ascii="Arial" w:cs="Arial" w:eastAsia="Arial" w:hAnsi="Arial"/>
          <w:sz w:val="16"/>
          <w:szCs w:val="16"/>
          <w:color w:val="auto"/>
        </w:rPr>
        <w:t>There is no trading market available for the pre-funded warrants on any securities exchange or nationally recognized trading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list the pre-funded warrants on any securities exchange or nationally recognized trading system.</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Right as a Stockholder. </w:t>
      </w:r>
      <w:r>
        <w:rPr>
          <w:rFonts w:ascii="Arial" w:cs="Arial" w:eastAsia="Arial" w:hAnsi="Arial"/>
          <w:sz w:val="18"/>
          <w:szCs w:val="18"/>
          <w:color w:val="auto"/>
        </w:rPr>
        <w:t>Except as otherwise provided in the pre-funded warrants or by virtue of such holder’s ownership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pre-funded warrants do not have the rights or privileges of holders of our common stock, including any voting rights, until they exercise their pre-funded warrants.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Fundamental Transaction</w:t>
      </w:r>
      <w:r>
        <w:rPr>
          <w:rFonts w:ascii="Arial" w:cs="Arial" w:eastAsia="Arial" w:hAnsi="Arial"/>
          <w:sz w:val="17"/>
          <w:szCs w:val="17"/>
          <w:color w:val="auto"/>
        </w:rPr>
        <w:t>. In the event of a fundamental transaction, as described in the pre-funded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tabs>
          <w:tab w:leader="none" w:pos="5580" w:val="left"/>
        </w:tabs>
        <w:rPr>
          <w:sz w:val="20"/>
          <w:szCs w:val="20"/>
          <w:color w:val="auto"/>
        </w:rPr>
      </w:pPr>
      <w:r>
        <w:rPr>
          <w:rFonts w:ascii="Arial" w:cs="Arial" w:eastAsia="Arial" w:hAnsi="Arial"/>
          <w:sz w:val="18"/>
          <w:szCs w:val="18"/>
          <w:color w:val="auto"/>
        </w:rPr>
        <w:t>We have entered into an underwriting agreement dated</w:t>
      </w:r>
      <w:r>
        <w:rPr>
          <w:sz w:val="20"/>
          <w:szCs w:val="20"/>
          <w:color w:val="auto"/>
        </w:rPr>
        <w:tab/>
      </w:r>
      <w:r>
        <w:rPr>
          <w:rFonts w:ascii="Arial" w:cs="Arial" w:eastAsia="Arial" w:hAnsi="Arial"/>
          <w:sz w:val="17"/>
          <w:szCs w:val="17"/>
          <w:color w:val="auto"/>
        </w:rPr>
        <w:t>, 2018 with H.C. Wainwright &amp; Co., LLC, as underwriter, with respect to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securities being offered hereby. Subject to the terms and conditions of the underwriting agreement, we have agreed to sell to the underwriter and the underwriter has agreed to purchase from us, at the public offering price less the underwriting discounts and commissions set forth on the cover page of this prospectus, shares of our common stock and pre-funded warrants.</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terms and subject to the conditions contained in the underwriting agreement, we have agreed to sell to the underwriter named below, and the underwriter has agreed to purchase from us, the respective number of shares of common stock and pre-funded warrants set forth opposite its name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18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Number of</w:t>
            </w:r>
          </w:p>
        </w:tc>
        <w:tc>
          <w:tcPr>
            <w:tcW w:w="1700" w:type="dxa"/>
            <w:vAlign w:val="bottom"/>
          </w:tcPr>
          <w:p>
            <w:pPr>
              <w:spacing w:after="0"/>
              <w:rPr>
                <w:sz w:val="17"/>
                <w:szCs w:val="17"/>
                <w:color w:val="auto"/>
              </w:rPr>
            </w:pPr>
          </w:p>
        </w:tc>
      </w:tr>
      <w:tr>
        <w:trPr>
          <w:trHeight w:val="189"/>
        </w:trPr>
        <w:tc>
          <w:tcPr>
            <w:tcW w:w="4260" w:type="dxa"/>
            <w:vAlign w:val="bottom"/>
          </w:tcPr>
          <w:p>
            <w:pPr>
              <w:spacing w:after="0"/>
              <w:rPr>
                <w:sz w:val="16"/>
                <w:szCs w:val="16"/>
                <w:color w:val="auto"/>
              </w:rPr>
            </w:pPr>
          </w:p>
        </w:tc>
        <w:tc>
          <w:tcPr>
            <w:tcW w:w="3180" w:type="dxa"/>
            <w:vAlign w:val="bottom"/>
          </w:tcPr>
          <w:p>
            <w:pPr>
              <w:jc w:val="center"/>
              <w:ind w:left="1790"/>
              <w:spacing w:after="0" w:line="189" w:lineRule="exact"/>
              <w:rPr>
                <w:sz w:val="20"/>
                <w:szCs w:val="20"/>
                <w:color w:val="auto"/>
              </w:rPr>
            </w:pPr>
            <w:r>
              <w:rPr>
                <w:rFonts w:ascii="Arial" w:cs="Arial" w:eastAsia="Arial" w:hAnsi="Arial"/>
                <w:sz w:val="18"/>
                <w:szCs w:val="18"/>
                <w:b w:val="1"/>
                <w:bCs w:val="1"/>
                <w:color w:val="auto"/>
                <w:w w:val="85"/>
              </w:rPr>
              <w:t>Shares of</w:t>
            </w:r>
          </w:p>
        </w:tc>
        <w:tc>
          <w:tcPr>
            <w:tcW w:w="1700" w:type="dxa"/>
            <w:vAlign w:val="bottom"/>
          </w:tcPr>
          <w:p>
            <w:pPr>
              <w:spacing w:after="0"/>
              <w:rPr>
                <w:sz w:val="16"/>
                <w:szCs w:val="16"/>
                <w:color w:val="auto"/>
              </w:rPr>
            </w:pPr>
          </w:p>
        </w:tc>
      </w:tr>
      <w:tr>
        <w:trPr>
          <w:trHeight w:val="189"/>
        </w:trPr>
        <w:tc>
          <w:tcPr>
            <w:tcW w:w="4260" w:type="dxa"/>
            <w:vAlign w:val="bottom"/>
          </w:tcPr>
          <w:p>
            <w:pPr>
              <w:spacing w:after="0"/>
              <w:rPr>
                <w:sz w:val="16"/>
                <w:szCs w:val="16"/>
                <w:color w:val="auto"/>
              </w:rPr>
            </w:pPr>
          </w:p>
        </w:tc>
        <w:tc>
          <w:tcPr>
            <w:tcW w:w="3180" w:type="dxa"/>
            <w:vAlign w:val="bottom"/>
          </w:tcPr>
          <w:p>
            <w:pPr>
              <w:jc w:val="center"/>
              <w:ind w:left="1790"/>
              <w:spacing w:after="0" w:line="189" w:lineRule="exact"/>
              <w:rPr>
                <w:sz w:val="20"/>
                <w:szCs w:val="20"/>
                <w:color w:val="auto"/>
              </w:rPr>
            </w:pPr>
            <w:r>
              <w:rPr>
                <w:rFonts w:ascii="Arial" w:cs="Arial" w:eastAsia="Arial" w:hAnsi="Arial"/>
                <w:sz w:val="18"/>
                <w:szCs w:val="18"/>
                <w:b w:val="1"/>
                <w:bCs w:val="1"/>
                <w:color w:val="auto"/>
                <w:w w:val="89"/>
              </w:rPr>
              <w:t>Common</w:t>
            </w:r>
          </w:p>
        </w:tc>
        <w:tc>
          <w:tcPr>
            <w:tcW w:w="17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Number of Pre-</w:t>
            </w:r>
          </w:p>
        </w:tc>
      </w:tr>
      <w:tr>
        <w:trPr>
          <w:trHeight w:val="228"/>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3180" w:type="dxa"/>
            <w:vAlign w:val="bottom"/>
            <w:tcBorders>
              <w:bottom w:val="single" w:sz="8" w:color="auto"/>
            </w:tcBorders>
          </w:tcPr>
          <w:p>
            <w:pPr>
              <w:jc w:val="center"/>
              <w:ind w:left="1790"/>
              <w:spacing w:after="0"/>
              <w:rPr>
                <w:sz w:val="20"/>
                <w:szCs w:val="20"/>
                <w:color w:val="auto"/>
              </w:rPr>
            </w:pPr>
            <w:r>
              <w:rPr>
                <w:rFonts w:ascii="Arial" w:cs="Arial" w:eastAsia="Arial" w:hAnsi="Arial"/>
                <w:sz w:val="18"/>
                <w:szCs w:val="18"/>
                <w:b w:val="1"/>
                <w:bCs w:val="1"/>
                <w:color w:val="auto"/>
                <w:w w:val="85"/>
              </w:rPr>
              <w:t>Stock</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funded Warrants</w:t>
            </w:r>
          </w:p>
        </w:tc>
      </w:tr>
      <w:tr>
        <w:trPr>
          <w:trHeight w:val="189"/>
        </w:trPr>
        <w:tc>
          <w:tcPr>
            <w:tcW w:w="4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H.C. Wainwright &amp; Co., LLC</w:t>
            </w:r>
          </w:p>
        </w:tc>
        <w:tc>
          <w:tcPr>
            <w:tcW w:w="3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The underwriting agreement provides that the obligation of the underwriter to purchase the shares of common stock and/or pre-funded warrants offered by this prospectus is subject to certain conditions. The underwriter is obligated to purchase all of the shares of common stock and/or pre-funded warrants if any of the securities are purchased, other than those shares covered by the option to purchase additional securities described below. Delivery of the shares of</w:t>
      </w:r>
    </w:p>
    <w:p>
      <w:pPr>
        <w:spacing w:after="0"/>
        <w:tabs>
          <w:tab w:leader="none" w:pos="6460" w:val="left"/>
        </w:tabs>
        <w:rPr>
          <w:sz w:val="20"/>
          <w:szCs w:val="20"/>
          <w:color w:val="auto"/>
        </w:rPr>
      </w:pPr>
      <w:r>
        <w:rPr>
          <w:rFonts w:ascii="Arial" w:cs="Arial" w:eastAsia="Arial" w:hAnsi="Arial"/>
          <w:sz w:val="18"/>
          <w:szCs w:val="18"/>
          <w:color w:val="auto"/>
        </w:rPr>
        <w:t>common stock and any pre-funded warrants to purchasers is expected on or about</w:t>
      </w:r>
      <w:r>
        <w:rPr>
          <w:sz w:val="20"/>
          <w:szCs w:val="20"/>
          <w:color w:val="auto"/>
        </w:rPr>
        <w:tab/>
      </w:r>
      <w:r>
        <w:rPr>
          <w:rFonts w:ascii="Arial" w:cs="Arial" w:eastAsia="Arial" w:hAnsi="Arial"/>
          <w:sz w:val="16"/>
          <w:szCs w:val="16"/>
          <w:color w:val="auto"/>
        </w:rPr>
        <w:t>, 2018, subject to certain customary closing conditions.</w:t>
      </w:r>
    </w:p>
    <w:p>
      <w:pPr>
        <w:spacing w:after="0" w:line="211" w:lineRule="exact"/>
        <w:rPr>
          <w:sz w:val="20"/>
          <w:szCs w:val="20"/>
          <w:color w:val="auto"/>
        </w:rPr>
      </w:pPr>
    </w:p>
    <w:p>
      <w:pPr>
        <w:jc w:val="both"/>
        <w:ind w:right="20" w:firstLine="360"/>
        <w:spacing w:after="0" w:line="291" w:lineRule="auto"/>
        <w:rPr>
          <w:sz w:val="20"/>
          <w:szCs w:val="20"/>
          <w:color w:val="auto"/>
        </w:rPr>
      </w:pPr>
      <w:r>
        <w:rPr>
          <w:rFonts w:ascii="Arial" w:cs="Arial" w:eastAsia="Arial" w:hAnsi="Arial"/>
          <w:sz w:val="16"/>
          <w:szCs w:val="16"/>
          <w:color w:val="auto"/>
        </w:rPr>
        <w:t>The underwriter proposes to offer the shares of common stock and/or pre-funded warrants purchased pursuant to the underwriting agreement to the public at the public offering price set forth on the cover page of this prospectus and to certain dealers at that price less a concession not in excess of $</w:t>
      </w:r>
    </w:p>
    <w:p>
      <w:pPr>
        <w:jc w:val="both"/>
        <w:spacing w:after="0" w:line="261" w:lineRule="auto"/>
        <w:rPr>
          <w:sz w:val="20"/>
          <w:szCs w:val="20"/>
          <w:color w:val="auto"/>
        </w:rPr>
      </w:pPr>
      <w:r>
        <w:rPr>
          <w:rFonts w:ascii="Arial" w:cs="Arial" w:eastAsia="Arial" w:hAnsi="Arial"/>
          <w:sz w:val="18"/>
          <w:szCs w:val="18"/>
          <w:color w:val="auto"/>
        </w:rPr>
        <w:t>per share or per pre-funded warrant. After this offering, the public offering price and concession may be changed by the underwriter. No such change shall change the amount of proceeds to be received by us as set forth on the cover page of this prospectus.</w:t>
      </w:r>
    </w:p>
    <w:p>
      <w:pPr>
        <w:spacing w:after="0" w:line="184"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In connection with the sale of the common stock and/or pre-funded warrants to be purchased by the underwriter, the underwriter will be deemed to have received compensation in the form of underwriting commissions and discounts. The underwriter’s commissions and discounts will be 7% of the gross</w:t>
      </w:r>
    </w:p>
    <w:p>
      <w:pPr>
        <w:spacing w:after="0"/>
        <w:tabs>
          <w:tab w:leader="none" w:pos="2620" w:val="left"/>
        </w:tabs>
        <w:rPr>
          <w:sz w:val="20"/>
          <w:szCs w:val="20"/>
          <w:color w:val="auto"/>
        </w:rPr>
      </w:pPr>
      <w:r>
        <w:rPr>
          <w:rFonts w:ascii="Arial" w:cs="Arial" w:eastAsia="Arial" w:hAnsi="Arial"/>
          <w:sz w:val="18"/>
          <w:szCs w:val="18"/>
          <w:color w:val="auto"/>
        </w:rPr>
        <w:t>proceeds of this offering, or $</w:t>
      </w:r>
      <w:r>
        <w:rPr>
          <w:sz w:val="20"/>
          <w:szCs w:val="20"/>
          <w:color w:val="auto"/>
        </w:rPr>
        <w:tab/>
      </w:r>
      <w:r>
        <w:rPr>
          <w:rFonts w:ascii="Arial" w:cs="Arial" w:eastAsia="Arial" w:hAnsi="Arial"/>
          <w:sz w:val="16"/>
          <w:szCs w:val="16"/>
          <w:color w:val="auto"/>
        </w:rPr>
        <w:t>per share of common stock or per pre-funded warrant.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 Commissions and Expenses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discounts and commissions and proceeds, before expenses to us. These amounts are shown assuming both no exercise and full exercise of the underwriter’s option to purchase additional shares of common stock.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Per Pre-</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funded</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Without</w:t>
            </w: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Total With</w:t>
            </w:r>
          </w:p>
        </w:tc>
      </w:tr>
      <w:tr>
        <w:trPr>
          <w:trHeight w:val="241"/>
        </w:trPr>
        <w:tc>
          <w:tcPr>
            <w:tcW w:w="5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 Share</w:t>
            </w:r>
          </w:p>
        </w:tc>
        <w:tc>
          <w:tcPr>
            <w:tcW w:w="3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3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also agreed to pay to the underwriter a management fee equal to 1% of the aggregate gross proceeds raised in this offering. We estimate the total expenses payable by us for this offering, excluding the underwriting discounts and commissions, to be approximately $ 500,000 , which includes (i) a $35,000 non-accountable expense allowance payable to the underwriter, (ii) reimbursement of the accountable expenses of the underwriter up to $125,000, including the legal fees of the underwriter, (iii) if applicable, reimbursement of documented costs of clearing agent settlement and financing up to $10,000 and (iv) other estimated expenses, which include legal, accounting, printing costs and various fees associated with the registration and listing of our securities sold in this offering in a total estimated amount of $ 340,000 .</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ind w:firstLine="648"/>
        <w:spacing w:after="0" w:line="302" w:lineRule="auto"/>
        <w:rPr>
          <w:sz w:val="20"/>
          <w:szCs w:val="20"/>
          <w:color w:val="auto"/>
        </w:rPr>
      </w:pPr>
      <w:r>
        <w:rPr>
          <w:rFonts w:ascii="Arial" w:cs="Arial" w:eastAsia="Arial" w:hAnsi="Arial"/>
          <w:sz w:val="16"/>
          <w:szCs w:val="16"/>
          <w:color w:val="auto"/>
        </w:rPr>
        <w:t>We have also agreed to pay the underwriter a tail fee equal to the cash and warrant compensation in this offering if any investor which the underwriter contacted or introduced us to during the term of the underwriter’s engagement (other than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October 12, 2018, entered into between us and the underwriter.</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have agreed to issue to the underwriter warrants (the “Underwriter’s Warrants”) to purchase up to 337,243 shares of common stock, which represents 5% of the aggregate number of shares of common stock and pre-funded warrants sold in this offering (including the number of shares of</w:t>
      </w:r>
    </w:p>
    <w:p>
      <w:pPr>
        <w:jc w:val="both"/>
        <w:spacing w:after="0" w:line="267" w:lineRule="auto"/>
        <w:rPr>
          <w:sz w:val="20"/>
          <w:szCs w:val="20"/>
          <w:color w:val="auto"/>
        </w:rPr>
      </w:pPr>
      <w:r>
        <w:rPr>
          <w:rFonts w:ascii="Arial" w:cs="Arial" w:eastAsia="Arial" w:hAnsi="Arial"/>
          <w:sz w:val="17"/>
          <w:szCs w:val="17"/>
          <w:color w:val="auto"/>
        </w:rPr>
        <w:t>common stock issuable upon exercise of the option to purchase additional securities), at an exercise price of $ per share (representing 125% of the public offering price per share of common stock to be sold in this offering). The Underwriter’s Warrants will be exercisable immediately and shall expire five years following the effective date of this offering. Pursuant to FINRA Rule 5110(g), the Underwriter’s Warrants and any shares issued upon exercise of the Underwriter’s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 (i) by operation of law or by reason of our reorganization; (ii) to any FINRA member firm participating in the offering and the officers or partners thereof, if all securities so transferred remain subject to the lock-up restriction set forth above for the remainder of the time period; (iii) if the aggregate amount of our securities held by the underwriter or related persons do not exceed 1% of the securities being offered; (iv)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to the underwriter an option, exercisable not later than 30 days after the date of this prospectus, to purchase up to an additional 879,765 shares of common stock at the public offering price, less the underwriting discounts and commissions, set forth on the cover page of this prospectus. If any additional shares of common stock are purchased pursuant to such option, the underwriter will offer these securities on the same terms as those on which the securities are being offered hereby.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granted the underwriter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Section 16 (under the Exchange Act) officers and directors have agreed with the underwriter to be subject to a lock-up period of 90 days following the date of this prospectus. This means that, during the applicable lock-up period,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Certain limited transfers are permitted during the lock-up period if the transferee agrees to these lock-up restrictions.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agreed, in the underwriting agreement, to similar lock-up restrictions on the issuance and sale of our shares of common stock, or any securities convertible into, or exercisable or exchangeable for, shares of common stock, for 90 days following the closing of this offering, subject to certain exceptions.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may, in its sole discretion and without notice, waive the terms of any of these lock-up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 may engage in syndicate covering transactions, stabilizing transactions and penalty bids or purchases for the purpose of pegging, fixing or maintaining the price of our common stock:</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securities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specific maximum.</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Penalty bids permit the underwriter to reclaim a selling concession from a syndicate member when the securities originally sold by the syndicate member are purchased in a stabilizing or syndicate covering transaction to cover syndicate short positions.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276" w:lineRule="auto"/>
        <w:rPr>
          <w:sz w:val="20"/>
          <w:szCs w:val="20"/>
          <w:color w:val="auto"/>
        </w:rPr>
      </w:pPr>
      <w:r>
        <w:rPr>
          <w:rFonts w:ascii="Arial" w:cs="Arial" w:eastAsia="Arial" w:hAnsi="Arial"/>
          <w:sz w:val="17"/>
          <w:szCs w:val="17"/>
          <w:color w:val="auto"/>
        </w:rPr>
        <w:t>These syndicate covering transactions, stabilizing transactions and penalty bids may have the effect of raising or maintaining the market prices of our securities or preventing or retarding a decline in the market prices of our securities. As a result, the price of our common stock may be higher than the price that might otherwise exist in the open market. Neither we nor the underwriter make any representation or prediction as to the effect that the transactions described above may have on the price of our common stock. These transactions may be effected on the Nasdaq Capital Market, in the over-the-counter market or on any other trading market and, if commenced, may be discontinued at any time.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this offering, the underwriter also may engage in passive market making transactions in our common stock in accordance with Regulation M during a period before the commencement of offers or sales of our securities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we nor the underwriter make any representation or prediction as to the direction or magnitude of any effect that the transactions described above may have on the prices of our securities. In addition, neither we nor the underwriter make any representation that the underwriter will engage in these transactions or that any transactions, once commenced, will not be discontinued without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certain liabilities arising under the Securities Act, or to contribute to payments that the underwriter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actual offering price of the securities we are offering will be negotiated between us and the underwriter based on the trading of our common stock prior to the offering, among other things, and may be at a discount to the current market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 if any, participating in this offering and the underwriter may distribute prospectuses electronically. Other than the prospectus in electronic format, the information on these websites is not part of this prospectus or the registration statement of which this prospectus form a part, has not been approved 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 and its respective affiliates may in the future engage in investment banking and other commercial dealings in the ordinary course of business with us or our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We do not plan to list the pre-funded warrants or the Underwriter’s Warrants on The Nasdaq Capital Market or any other securities exchange or trading market.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Belgium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securities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648"/>
        <w:spacing w:after="0" w:line="291" w:lineRule="auto"/>
        <w:rPr>
          <w:sz w:val="20"/>
          <w:szCs w:val="20"/>
          <w:color w:val="auto"/>
        </w:rPr>
      </w:pPr>
      <w:r>
        <w:rPr>
          <w:rFonts w:ascii="Arial" w:cs="Arial" w:eastAsia="Arial" w:hAnsi="Arial"/>
          <w:sz w:val="16"/>
          <w:szCs w:val="16"/>
          <w:color w:val="auto"/>
        </w:rPr>
        <w:t>The underwriter has undertaken not to offer sell, resell, transfer or deliver directly or indirectly, any units, or to take any steps relating/ancillary thereto, and not to distribute or publish this document or any other material relating to the units or to the offering in a manner which would be construed as:</w:t>
      </w:r>
    </w:p>
    <w:p>
      <w:pPr>
        <w:jc w:val="both"/>
        <w:ind w:firstLine="8"/>
        <w:spacing w:after="0" w:line="255"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Neither this prospectus nor any other offering material relating to the securities has been submitted to the clearance procedures of the Autorité des marchés financiers in France. The securities have not been offered or sold and will not be offered or sold, directly or indirectly, to the public in France. Neither this prospectus nor any other offering material relating to the securities has been or will be: (a) released, issued, distributed or caused to be released, issued or distributed to the public in France; or (b) used in connection with any offer for subscription or sale of the securities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securities may be resold only in compliance with Articles L.411-1, L.411-2, L.412-1 and L.621-8 through L.621-8-3 of the French Code monétaire et financier.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Kingdom/Germany/Norway/The Netherlands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security may be made at any time under the following exemptions under the Prospectus Directive, if they have been implemented in that Relevant Member State:</w:t>
      </w:r>
    </w:p>
    <w:p>
      <w:pPr>
        <w:spacing w:after="0" w:line="189"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or</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units shall result in a requirement for the publication by the company or any underwriter of a prospectus pursuant to Article 3 of the Prospectus Directive.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purposes of this provision, the expression an “offer to the public” in relation to any units in any Relevant Member State means the communication in any form and by any means of sufficient information on the terms of the offer and any units to be offered so as to enable an investor to decide to purchase any units,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225" w:lineRule="exact"/>
        <w:rPr>
          <w:sz w:val="20"/>
          <w:szCs w:val="20"/>
          <w:color w:val="auto"/>
        </w:rPr>
      </w:pPr>
    </w:p>
    <w:p>
      <w:pPr>
        <w:jc w:val="both"/>
        <w:ind w:left="340" w:hanging="332"/>
        <w:spacing w:after="0" w:line="28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units in circumstances in which section 21(1) of the FSMA does not apply to the company; and</w:t>
      </w:r>
    </w:p>
    <w:p>
      <w:pPr>
        <w:spacing w:after="0" w:line="165"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Israel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qualified investors. Qualified investors will be required to submit written confirmation that they fall within the scope of the Addendum.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offering of the securities offered hereby in Italy has not been registered with the Commissione Nazionale per la Società e la Borsa (“CONSOB”) pursuant to Italian securities legislation and, accordingly, the securities offered hereby cannot be offered, sold or delivered in the Republic of Italy (“Italy”) nor may any copy of this prospectus or any other document relating to the securities offered hereby be distributed in Italy other than to professional investors (operatori qualificati) as defined in Article 31, second paragraph, of CONSOB Regulation No. 11522 of 1 July, 1998 as subsequently amended. Any offer, sale or delivery of the securities offered hereby or distribution of copies of this prospectus or any other document relating to the securities offered hereby in Italy must be made:</w:t>
      </w:r>
    </w:p>
    <w:p>
      <w:pPr>
        <w:spacing w:after="0" w:line="193"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compliance with any other applicable laws and regulations and other possible requirements or limitations which may be imposed by Italian authorities.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prospectus has not been nor will it be registered with or approved by Finansinspektionen (the Swedish Financial Supervisory Authority). Accordingly, this prospectus may not be made available, nor may the securities offered hereunder be marketed and offered for sale in Sweden, other than under circumstances which are deemed not to require a prospectus under the Financial Instruments Trading Act (1991: 980).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securities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securities being offered pursuant to this prospectus on the SWX Swiss Exchange or on any other regulated securities market, and consequently, the information presented in this prospectus does not necessarily comply with the information standards set out in the relevant listing rules. The securities being offered pursuant to this prospectus have not been registered with the Swiss Federal Banking Commission as foreign investment funds, and the investor protection afforded to acquirers of investment fund certificates does not extend to acquirers of securities.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validity of the securities being offered by this prospectus will be passed upon for us by Mintz, Levin, Cohn, Ferris, Glovsky and Popeo P.C., Boston, Massachusetts. The underwriter is being represented by Lowenstein Sandler,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2017, have been audited by Brightman Almagor Zohar &amp; Co., a Member of Deloitte Touche Tohmatsu Limited,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 You may also request a copy of these filings, at no cost, by writing us at 25 Recreation Park Drive, Unit 108 Hingham, Massachusetts 02043 or telephoning us at (781) 875-3605.</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the information and periodic reporting requirements of the Exchange Act, and we file periodic reports, proxy statements and other information with the SEC. These periodic reports, proxy statements and other information are available for inspection and copying at the public reference room and website of the SEC referred to above. We maintain a website at www.microbotmedical.com.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April 2, 2018;</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June 30, 2018 and September 30, 2018 , filed with the SEC on May 15, 2018 , August 14, 2018, and November 14 ,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July 27, 2018;</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reports on Form 8-K and any amendments thereto on Form 8-K/A, filed with the SEC on January 8, 2018; January 31, 2018; March 28, 2018; April 5, 2018; April 16, 2018; September 4, 2018 , October 1, 2018 and November 19, 2018 (in each case, except for information contained therein which is furnished rather than filed);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both"/>
        <w:ind w:right="20" w:firstLine="324"/>
        <w:spacing w:after="0" w:line="308" w:lineRule="auto"/>
        <w:rPr>
          <w:sz w:val="20"/>
          <w:szCs w:val="20"/>
          <w:color w:val="auto"/>
        </w:rPr>
      </w:pPr>
      <w:r>
        <w:rPr>
          <w:rFonts w:ascii="Arial" w:cs="Arial" w:eastAsia="Arial" w:hAnsi="Arial"/>
          <w:sz w:val="17"/>
          <w:szCs w:val="17"/>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6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rPr>
              <w:t>MICROBOT MEDICAL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4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rPr>
              <w:t>INDEX TO 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Balance Sheets as of December 31, 2017, and 2016</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Statements of Comprehensive Loss for the years ended December 31, 2017 and 2016</w:t>
              </w:r>
            </w:hyperlink>
          </w:p>
        </w:tc>
        <w:tc>
          <w:tcPr>
            <w:tcW w:w="36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Statements of Shareholders’ Equity (Deficit) for the years ended December 31, 2017 and 2016</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Cash Flows for the years ended December 31, 2017 and 2016</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Notes to the Consolidated Financial Statements</w:t>
              </w:r>
            </w:hyperlink>
          </w:p>
        </w:tc>
        <w:tc>
          <w:tcPr>
            <w:tcW w:w="43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Interim Consolidated Balance Sheets as of September 30, 2018 (unaudited) and December 31, 2017</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1"/>
              </w:rPr>
              <w:t>F-29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Interim Consolidated Statements of Comprehensive Loss for the three and nine months ended September 30, 2018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Interim Consolidated Statements of Shareholders’ Equity for the year ended December 31, 2018 and the nine months ended September 30, 2018</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(unaudited)</w:t>
              </w:r>
            </w:hyperlink>
          </w:p>
        </w:tc>
        <w:tc>
          <w:tcPr>
            <w:tcW w:w="38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F-31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Interim Consolidated Statements of Cash Flows for the three and nine months ended September 30, 2018 and 2017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Notes to the Interim Consolidated Financial Statements</w:t>
              </w:r>
            </w:hyperlink>
          </w:p>
        </w:tc>
        <w:tc>
          <w:tcPr>
            <w:tcW w:w="162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F-33</w:t>
            </w:r>
          </w:p>
        </w:tc>
        <w:tc>
          <w:tcPr>
            <w:tcW w:w="0" w:type="dxa"/>
            <w:vAlign w:val="bottom"/>
          </w:tcPr>
          <w:p>
            <w:pPr>
              <w:spacing w:after="0"/>
              <w:rPr>
                <w:sz w:val="1"/>
                <w:szCs w:val="1"/>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3" w:name="page34"/>
    <w:bookmarkEnd w:id="33"/>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2143760"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143760" cy="471805"/>
                    </a:xfrm>
                    <a:prstGeom prst="rect">
                      <a:avLst/>
                    </a:prstGeom>
                    <a:noFill/>
                  </pic:spPr>
                </pic:pic>
              </a:graphicData>
            </a:graphic>
          </wp:anchor>
        </w:drawing>
      </w:r>
    </w:p>
    <w:p>
      <w:pPr>
        <w:ind w:right="5260"/>
        <w:spacing w:after="0" w:line="266"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MICROBOT MEDICAL,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Microbot Medical, Inc. and its subsidiary (the “Company”) as of December 31, 2017 and 2016 and the related consolidated statements of comprehensive loss, stockholders’ equity and cash flows for each of the two years in the period ended December 31, 2017, and the related notes (collectively referred to as the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 Limited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 except Note 1D, as to which the date is November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402580" cy="1526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258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10,787</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8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204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3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556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of $0.01 par value; issued and outstanding: 721,107 shares as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 December 31, 2017 and 2016</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of $0.01 par value; Authorized: 1,000,000 shares as of</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color w:val="auto"/>
                <w:w w:val="94"/>
              </w:rPr>
              <w:t>December 31, 2017 and 2016;issued and outstanding: 4,001 and 9,736 shares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4"/>
          </w:tcPr>
          <w:p>
            <w:pPr>
              <w:spacing w:after="0"/>
              <w:rPr>
                <w:sz w:val="20"/>
                <w:szCs w:val="20"/>
                <w:color w:val="auto"/>
              </w:rPr>
            </w:pPr>
            <w:r>
              <w:rPr>
                <w:rFonts w:ascii="Arial" w:cs="Arial" w:eastAsia="Arial" w:hAnsi="Arial"/>
                <w:sz w:val="18"/>
                <w:szCs w:val="18"/>
                <w:color w:val="auto"/>
              </w:rPr>
              <w:t>as of December 31, 2017 and 2016, respectively</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of $0.01 par value; Authorized: 220,000,000 as of December</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 2017 and 2016; issued and outstanding (**): 2,013,193 and 1,067,777</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December 31, 2017, and December 31, 2016, respectively</w:t>
            </w: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30,561</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(20,624)</w:t>
            </w:r>
          </w:p>
        </w:tc>
        <w:tc>
          <w:tcPr>
            <w:tcW w:w="6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 w:type="dxa"/>
            <w:vAlign w:val="bottom"/>
            <w:tcBorders>
              <w:top w:val="single" w:sz="8" w:color="CCEEFF"/>
              <w:bottom w:val="single" w:sz="8" w:color="CCEEFF"/>
            </w:tcBorders>
          </w:tcPr>
          <w:p>
            <w:pPr>
              <w:spacing w:after="0"/>
              <w:rPr>
                <w:sz w:val="22"/>
                <w:szCs w:val="22"/>
                <w:color w:val="auto"/>
              </w:rPr>
            </w:pPr>
          </w:p>
        </w:tc>
        <w:tc>
          <w:tcPr>
            <w:tcW w:w="3240" w:type="dxa"/>
            <w:vAlign w:val="bottom"/>
            <w:tcBorders>
              <w:top w:val="single" w:sz="8" w:color="CCEEFF"/>
              <w:bottom w:val="single" w:sz="8" w:color="CCEEFF"/>
            </w:tcBorders>
          </w:tcPr>
          <w:p>
            <w:pPr>
              <w:spacing w:after="0"/>
              <w:rPr>
                <w:sz w:val="22"/>
                <w:szCs w:val="22"/>
                <w:color w:val="auto"/>
              </w:rPr>
            </w:pPr>
          </w:p>
        </w:tc>
        <w:tc>
          <w:tcPr>
            <w:tcW w:w="20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9,964</w:t>
            </w:r>
          </w:p>
        </w:tc>
        <w:tc>
          <w:tcPr>
            <w:tcW w:w="320" w:type="dxa"/>
            <w:vAlign w:val="bottom"/>
            <w:tcBorders>
              <w:top w:val="single" w:sz="8" w:color="CCEEFF"/>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11,020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firstLine="8"/>
        <w:spacing w:after="0" w:line="261" w:lineRule="auto"/>
        <w:tabs>
          <w:tab w:leader="none" w:pos="3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 as discussed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Years ended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(7,589)</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Weighted-average number of common shares outstanding, basic and</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t>
            </w: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2,201,992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 as discussed in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8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 A Shares –</w:t>
            </w:r>
          </w:p>
        </w:tc>
        <w:tc>
          <w:tcPr>
            <w:tcW w:w="60" w:type="dxa"/>
            <w:vAlign w:val="bottom"/>
          </w:tcPr>
          <w:p>
            <w:pPr>
              <w:spacing w:after="0"/>
              <w:rPr>
                <w:sz w:val="14"/>
                <w:szCs w:val="14"/>
                <w:color w:val="auto"/>
              </w:rPr>
            </w:pPr>
          </w:p>
        </w:tc>
        <w:tc>
          <w:tcPr>
            <w:tcW w:w="9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4"/>
              </w:rPr>
              <w:t>Preferred 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Shares – Microbot</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80" w:type="dxa"/>
            <w:vAlign w:val="bottom"/>
            <w:gridSpan w:val="6"/>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Microbot Medical Ltd.</w:t>
            </w:r>
          </w:p>
        </w:tc>
        <w:tc>
          <w:tcPr>
            <w:tcW w:w="60" w:type="dxa"/>
            <w:vAlign w:val="bottom"/>
          </w:tcPr>
          <w:p>
            <w:pPr>
              <w:spacing w:after="0"/>
              <w:rPr>
                <w:sz w:val="13"/>
                <w:szCs w:val="13"/>
                <w:color w:val="auto"/>
              </w:rPr>
            </w:pPr>
          </w:p>
        </w:tc>
        <w:tc>
          <w:tcPr>
            <w:tcW w:w="980" w:type="dxa"/>
            <w:vAlign w:val="bottom"/>
            <w:gridSpan w:val="3"/>
          </w:tcPr>
          <w:p>
            <w:pPr>
              <w:jc w:val="center"/>
              <w:ind w:left="108"/>
              <w:spacing w:after="0" w:line="158" w:lineRule="exact"/>
              <w:rPr>
                <w:sz w:val="20"/>
                <w:szCs w:val="20"/>
                <w:color w:val="auto"/>
              </w:rPr>
            </w:pPr>
            <w:r>
              <w:rPr>
                <w:rFonts w:ascii="Arial" w:cs="Arial" w:eastAsia="Arial" w:hAnsi="Arial"/>
                <w:sz w:val="14"/>
                <w:szCs w:val="14"/>
                <w:b w:val="1"/>
                <w:bCs w:val="1"/>
                <w:color w:val="auto"/>
                <w:w w:val="95"/>
              </w:rPr>
              <w:t>Medical Inc.</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6"/>
              </w:rPr>
              <w:t>(Pre - merger) *</w:t>
            </w:r>
          </w:p>
        </w:tc>
        <w:tc>
          <w:tcPr>
            <w:tcW w:w="60" w:type="dxa"/>
            <w:vAlign w:val="bottom"/>
          </w:tcPr>
          <w:p>
            <w:pPr>
              <w:spacing w:after="0"/>
              <w:rPr>
                <w:sz w:val="17"/>
                <w:szCs w:val="17"/>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(Post - merger) *</w:t>
            </w: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Common Stock (***)</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paid-in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shareholders’</w:t>
            </w:r>
          </w:p>
        </w:tc>
        <w:tc>
          <w:tcPr>
            <w:tcW w:w="6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8,708,132</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87</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888,188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3,212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(3,372)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(64)</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convertible notes and exercise of</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upon conversion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4,746,237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Effect of reverse recapitalization</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(13,454,369)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1,030,957</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classified as temporary equity</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Beneficial Conversion Feature recorded 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w w:val="96"/>
              </w:rPr>
              <w:t>convertible debt acquired in reverse recapitalization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2,029</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2,029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Transaction costs incurred in reverse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recapitalization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525,706</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6,890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6,895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Cancellation of ordinary shares and issuance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9,736</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(655,967)</w:t>
            </w:r>
          </w:p>
        </w:tc>
        <w:tc>
          <w:tcPr>
            <w:tcW w:w="2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based compensation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(9,663)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(9,663)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Balances, December 31, 2016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9,736</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(**)1,788,884</w:t>
            </w:r>
          </w:p>
        </w:tc>
        <w:tc>
          <w:tcPr>
            <w:tcW w:w="20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14,713</w:t>
            </w: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(13,035)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1,696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299,815</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8,085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31,787</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Extinguishment of convertible notes and issuance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of preferred A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3,255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2,676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6"/>
              </w:rPr>
              <w:t>Conversion of preferred A shares to common stock</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(8,990)</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605,705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4,001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**2,734,300</w:t>
            </w:r>
          </w:p>
        </w:tc>
        <w:tc>
          <w:tcPr>
            <w:tcW w:w="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30,561</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b w:val="1"/>
                <w:bCs w:val="1"/>
                <w:color w:val="auto"/>
              </w:rPr>
              <w:t>(20,624</w:t>
            </w:r>
            <w:r>
              <w:rPr>
                <w:rFonts w:ascii="Arial" w:cs="Arial" w:eastAsia="Arial" w:hAnsi="Arial"/>
                <w:sz w:val="20"/>
                <w:szCs w:val="20"/>
                <w:b w:val="1"/>
                <w:bCs w:val="1"/>
                <w:color w:val="auto"/>
                <w:vertAlign w:val="superscript"/>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9,964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jc w:val="both"/>
        <w:ind w:firstLine="8"/>
        <w:spacing w:after="0" w:line="250" w:lineRule="auto"/>
        <w:tabs>
          <w:tab w:leader="none" w:pos="1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 data for periods prior to the reverse recapitalization represents the legal equity structure of Microbot Ltd. with the number of shares adjusted to retroactively reflect the one-to-nine Reverse Stock Split effected on November 28, 2016 as well as the reverse recapitalization consummated on November 28, 2016.</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Includes 721,107 common stock classified as temporary equity.</w:t>
      </w:r>
    </w:p>
    <w:p>
      <w:pPr>
        <w:spacing w:after="0" w:line="9" w:lineRule="exact"/>
        <w:rPr>
          <w:rFonts w:ascii="Arial" w:cs="Arial" w:eastAsia="Arial" w:hAnsi="Arial"/>
          <w:sz w:val="18"/>
          <w:szCs w:val="18"/>
          <w:color w:val="auto"/>
        </w:rPr>
      </w:pPr>
    </w:p>
    <w:p>
      <w:pPr>
        <w:ind w:right="20"/>
        <w:spacing w:after="0" w:line="261" w:lineRule="auto"/>
        <w:rPr>
          <w:rFonts w:ascii="Arial" w:cs="Arial" w:eastAsia="Arial" w:hAnsi="Arial"/>
          <w:sz w:val="18"/>
          <w:szCs w:val="18"/>
          <w:color w:val="auto"/>
        </w:rPr>
      </w:pPr>
      <w:r>
        <w:rPr>
          <w:rFonts w:ascii="Arial" w:cs="Arial" w:eastAsia="Arial" w:hAnsi="Arial"/>
          <w:sz w:val="18"/>
          <w:szCs w:val="18"/>
          <w:color w:val="auto"/>
        </w:rPr>
        <w:t>(***) December 31 2017, 2016 and 2015 share data represent the number of shares adjusted to retroactively reflect the 1:15 reverse Stock Split effected on September 4, 2018, as discussed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(7,589)</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discount on convertible notes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Share-based 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Financing loss on debt extinguishment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(4,856)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Increase in restricted cash</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Acquisition of a subsidiary in connection with reverse recapitalization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Inflows in connection with current assets and liabilities acquired in reverse recapitalization,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Exercise of warrants issued upon conversion of notes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Issuance of convertible notes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13,019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8,078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10,787</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Non-cash financing transactions: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Cashless exercise of warrants</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Conversion of preferred A shares into common shares</w:t>
            </w:r>
          </w:p>
        </w:tc>
        <w:tc>
          <w:tcPr>
            <w:tcW w:w="14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Extinguishment of convertible notes in exchange for preferred A shares</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2,083</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MICROBOT MEDICAL INC.</w:t>
            </w:r>
          </w:p>
        </w:tc>
        <w:tc>
          <w:tcPr>
            <w:tcW w:w="2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gridSpan w:val="5"/>
          </w:tcPr>
          <w:p>
            <w:pPr>
              <w:jc w:val="center"/>
              <w:ind w:left="2150"/>
              <w:spacing w:after="0" w:line="196" w:lineRule="exact"/>
              <w:rPr>
                <w:sz w:val="20"/>
                <w:szCs w:val="20"/>
                <w:color w:val="auto"/>
              </w:rPr>
            </w:pPr>
            <w:r>
              <w:rPr>
                <w:rFonts w:ascii="Arial" w:cs="Arial" w:eastAsia="Arial" w:hAnsi="Arial"/>
                <w:sz w:val="18"/>
                <w:szCs w:val="18"/>
                <w:b w:val="1"/>
                <w:bCs w:val="1"/>
                <w:color w:val="auto"/>
                <w:w w:val="88"/>
              </w:rPr>
              <w:t>Consolidated Statements of Cash Flows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U.S. dollars in thousands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(Except share data)</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160" w:type="dxa"/>
            <w:vAlign w:val="bottom"/>
            <w:gridSpan w:val="6"/>
          </w:tcPr>
          <w:p>
            <w:pPr>
              <w:spacing w:after="0"/>
              <w:rPr>
                <w:sz w:val="20"/>
                <w:szCs w:val="20"/>
                <w:color w:val="auto"/>
              </w:rPr>
            </w:pPr>
            <w:r>
              <w:rPr>
                <w:rFonts w:ascii="Arial" w:cs="Arial" w:eastAsia="Arial" w:hAnsi="Arial"/>
                <w:sz w:val="18"/>
                <w:szCs w:val="18"/>
                <w:b w:val="1"/>
                <w:bCs w:val="1"/>
                <w:color w:val="auto"/>
              </w:rPr>
              <w:t>Assets acquired (liabilities assumed):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November 28,</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assets excluding cash and cash equivalents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Convertible note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Reverse recapitalization effect on equity</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Cash acquired in connection with reverse recapitalization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jc w:val="center"/>
              <w:ind w:right="2260"/>
              <w:spacing w:after="0"/>
              <w:rPr>
                <w:sz w:val="20"/>
                <w:szCs w:val="20"/>
                <w:color w:val="auto"/>
              </w:rPr>
            </w:pPr>
            <w:r>
              <w:rPr>
                <w:rFonts w:ascii="Arial" w:cs="Arial" w:eastAsia="Arial" w:hAnsi="Arial"/>
                <w:sz w:val="18"/>
                <w:szCs w:val="18"/>
                <w:color w:val="auto"/>
                <w:w w:val="88"/>
              </w:rPr>
              <w:t>F-7</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1600" w:hanging="566"/>
        <w:spacing w:after="0"/>
        <w:tabs>
          <w:tab w:leader="none" w:pos="1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66"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6" w:lineRule="exact"/>
        <w:rPr>
          <w:sz w:val="20"/>
          <w:szCs w:val="20"/>
          <w:color w:val="auto"/>
        </w:rPr>
      </w:pPr>
    </w:p>
    <w:p>
      <w:pPr>
        <w:jc w:val="both"/>
        <w:ind w:left="1540"/>
        <w:spacing w:after="0" w:line="286" w:lineRule="auto"/>
        <w:rPr>
          <w:sz w:val="20"/>
          <w:szCs w:val="20"/>
          <w:color w:val="auto"/>
        </w:rPr>
      </w:pPr>
      <w:r>
        <w:rPr>
          <w:rFonts w:ascii="Arial" w:cs="Arial" w:eastAsia="Arial" w:hAnsi="Arial"/>
          <w:sz w:val="16"/>
          <w:szCs w:val="16"/>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0.2 shares (2.9 shares before the Reverse Split described below) of the Company’s common stock, par value $0.01 per share, after giving effect to a one for nine reverse stock splits of the date of the merger, for an aggregate of 1,788,884 shares (26,550,974 shares before the Reverse Split) of Company’s common Stock issued to the former Microbot Israel shareholders. In addition, all outstanding options to purchase the ordinary shares of Microbot Israel were assumed by the Company and converted into options to purchase an aggregate of 176,181 shares (2,614,916 shares before the Reverse Split) of the Company’s common stock. Additionally, the Company issued an aggregate of 525,706 restricted shares (7,802,639 restricted shares before the Reverse Split)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72"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93"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Prior to the Merger, the Company was a biopharmaceutical company that conducts research, development, and commercialization of stem cell therapeutics and related technologies. Substantially the sale of all material assets relating to the stem cell business were completed on November 29, 2016.</w:t>
      </w:r>
    </w:p>
    <w:p>
      <w:pPr>
        <w:spacing w:after="0" w:line="181"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ind w:left="1600" w:hanging="566"/>
        <w:spacing w:after="0"/>
        <w:tabs>
          <w:tab w:leader="none" w:pos="1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540"/>
        <w:spacing w:after="0" w:line="288" w:lineRule="auto"/>
        <w:rPr>
          <w:sz w:val="20"/>
          <w:szCs w:val="20"/>
          <w:color w:val="auto"/>
        </w:rPr>
      </w:pPr>
      <w:r>
        <w:rPr>
          <w:rFonts w:ascii="Arial" w:cs="Arial" w:eastAsia="Arial" w:hAnsi="Arial"/>
          <w:sz w:val="16"/>
          <w:szCs w:val="16"/>
          <w:color w:val="auto"/>
        </w:rPr>
        <w:t>To date, the Company has not generated revenues from its operations. As of the date of issuance of these financial statements, the Company has cash and cash equivalent balance of $9.5 million,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5" w:lineRule="exact"/>
        <w:rPr>
          <w:sz w:val="20"/>
          <w:szCs w:val="20"/>
          <w:color w:val="auto"/>
        </w:rPr>
      </w:pPr>
    </w:p>
    <w:p>
      <w:pPr>
        <w:ind w:left="1600" w:hanging="566"/>
        <w:spacing w:after="0"/>
        <w:tabs>
          <w:tab w:leader="none" w:pos="1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83" w:lineRule="exact"/>
        <w:rPr>
          <w:sz w:val="20"/>
          <w:szCs w:val="20"/>
          <w:color w:val="auto"/>
        </w:rPr>
      </w:pPr>
    </w:p>
    <w:p>
      <w:pPr>
        <w:ind w:left="1600" w:hanging="566"/>
        <w:spacing w:after="0"/>
        <w:tabs>
          <w:tab w:leader="none" w:pos="16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ind w:left="1540"/>
        <w:spacing w:after="0" w:line="269" w:lineRule="auto"/>
        <w:rPr>
          <w:sz w:val="20"/>
          <w:szCs w:val="20"/>
          <w:color w:val="auto"/>
        </w:rPr>
      </w:pPr>
      <w:r>
        <w:rPr>
          <w:rFonts w:ascii="Arial" w:cs="Arial" w:eastAsia="Arial" w:hAnsi="Arial"/>
          <w:sz w:val="17"/>
          <w:szCs w:val="17"/>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will be converted into one share of the Company’s new common stock. Fractional shares resulting from the Reverse Split will be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stock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this Reverse Split. References to numbers of shares of common stock and per share data in the accompanying financial statements and notes thereto have been adjusted to reflect the Reverse Split on a retroactive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1600" w:hanging="566"/>
        <w:spacing w:after="0"/>
        <w:tabs>
          <w:tab w:leader="none" w:pos="1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166" w:lineRule="exact"/>
        <w:rPr>
          <w:sz w:val="20"/>
          <w:szCs w:val="20"/>
          <w:color w:val="auto"/>
        </w:rPr>
      </w:pPr>
    </w:p>
    <w:p>
      <w:pPr>
        <w:ind w:left="1600" w:hanging="566"/>
        <w:spacing w:after="0"/>
        <w:tabs>
          <w:tab w:leader="none" w:pos="16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in U.S. dollars:</w:t>
      </w:r>
    </w:p>
    <w:p>
      <w:pPr>
        <w:spacing w:after="0" w:line="22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sz w:val="20"/>
          <w:szCs w:val="20"/>
          <w:color w:val="auto"/>
        </w:rPr>
      </w:pPr>
    </w:p>
    <w:p>
      <w:pPr>
        <w:ind w:left="1540" w:right="20"/>
        <w:spacing w:after="0" w:line="342" w:lineRule="auto"/>
        <w:rPr>
          <w:sz w:val="20"/>
          <w:szCs w:val="20"/>
          <w:color w:val="auto"/>
        </w:rPr>
      </w:pPr>
      <w:r>
        <w:rPr>
          <w:rFonts w:ascii="Arial" w:cs="Arial" w:eastAsia="Arial" w:hAnsi="Arial"/>
          <w:sz w:val="16"/>
          <w:szCs w:val="16"/>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24"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ind w:left="566" w:hanging="566"/>
        <w:spacing w:after="0"/>
        <w:tabs>
          <w:tab w:leader="none" w:pos="56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506"/>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sz w:val="20"/>
          <w:szCs w:val="20"/>
          <w:color w:val="auto"/>
        </w:rPr>
      </w:pPr>
    </w:p>
    <w:p>
      <w:pPr>
        <w:ind w:left="566" w:hanging="566"/>
        <w:spacing w:after="0"/>
        <w:tabs>
          <w:tab w:leader="none" w:pos="56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506"/>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 The method of determining the fair value of derivative warrant liabilities is discussed in Note 8.</w:t>
      </w:r>
    </w:p>
    <w:p>
      <w:pPr>
        <w:spacing w:after="0" w:line="170"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506"/>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506"/>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506"/>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566" w:hanging="566"/>
        <w:spacing w:after="0"/>
        <w:tabs>
          <w:tab w:leader="none" w:pos="56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left="506"/>
        <w:spacing w:after="0" w:line="277" w:lineRule="auto"/>
        <w:rPr>
          <w:sz w:val="20"/>
          <w:szCs w:val="20"/>
          <w:color w:val="auto"/>
        </w:rPr>
      </w:pPr>
      <w:r>
        <w:rPr>
          <w:rFonts w:ascii="Arial" w:cs="Arial" w:eastAsia="Arial" w:hAnsi="Arial"/>
          <w:sz w:val="18"/>
          <w:szCs w:val="18"/>
          <w:color w:val="auto"/>
        </w:rPr>
        <w:t>Fixed assets are presented at costs less accumulated depreciation. Depreciation is calculated based on the straight-line method over the estimated useful lives of the assets, as the following annual rates:</w:t>
      </w:r>
    </w:p>
    <w:p>
      <w:pPr>
        <w:spacing w:after="0" w:line="180" w:lineRule="exact"/>
        <w:rPr>
          <w:sz w:val="20"/>
          <w:szCs w:val="20"/>
          <w:color w:val="auto"/>
        </w:rPr>
      </w:pPr>
    </w:p>
    <w:tbl>
      <w:tblPr>
        <w:tblLayout w:type="fixed"/>
        <w:tblInd w:w="526"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8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1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25-33</w:t>
            </w:r>
          </w:p>
        </w:tc>
        <w:tc>
          <w:tcPr>
            <w:tcW w:w="60" w:type="dxa"/>
            <w:vAlign w:val="bottom"/>
            <w:shd w:val="clear" w:color="auto" w:fill="CCEEFF"/>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566" w:hanging="566"/>
        <w:spacing w:after="0"/>
        <w:tabs>
          <w:tab w:leader="none" w:pos="56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Payments in accordance with Article 14 release Microbot Israel from any future severance payments (under the Israeli Severance Compensation Act, 1963) with respect of those employees. The aforementioned deposits are not recorded as an asset in the Company’s balance sheet,</w:t>
      </w:r>
    </w:p>
    <w:p>
      <w:pPr>
        <w:spacing w:after="0" w:line="177" w:lineRule="exact"/>
        <w:rPr>
          <w:sz w:val="20"/>
          <w:szCs w:val="20"/>
          <w:color w:val="auto"/>
        </w:rPr>
      </w:pPr>
    </w:p>
    <w:p>
      <w:pPr>
        <w:ind w:left="566" w:hanging="566"/>
        <w:spacing w:after="0"/>
        <w:tabs>
          <w:tab w:leader="none" w:pos="56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Basic net loss per share is computed by dividing net loss, as adjusted to include s by the weighted average number of common shares outstanding during the year. Common shares and preferred shares contingently issuable for little or no cash are included in basic net loss per share on an as issued basis.</w:t>
      </w:r>
    </w:p>
    <w:p>
      <w:pPr>
        <w:spacing w:after="0" w:line="181"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1" w:right="239" w:bottom="1440" w:gutter="0" w:footer="0" w:header="0"/>
        </w:sectPr>
      </w:pPr>
    </w:p>
    <w:bookmarkStart w:id="42" w:name="page43"/>
    <w:bookmarkEnd w:id="42"/>
    <w:p>
      <w:pPr>
        <w:jc w:val="both"/>
        <w:ind w:left="506"/>
        <w:spacing w:after="0" w:line="257" w:lineRule="auto"/>
        <w:rPr>
          <w:sz w:val="20"/>
          <w:szCs w:val="20"/>
          <w:color w:val="auto"/>
        </w:rPr>
      </w:pPr>
      <w:r>
        <w:rPr>
          <w:rFonts w:ascii="Arial" w:cs="Arial" w:eastAsia="Arial" w:hAnsi="Arial"/>
          <w:sz w:val="18"/>
          <w:szCs w:val="18"/>
          <w:color w:val="auto"/>
        </w:rPr>
        <w:t>Diluted net loss per share is computed by dividing net loss, as adjusted to include preferred shares dividend participation rights of preferred shares outstanding during the year as well as of preferred shares that would have been outstanding if all potentially dilutive preferred shares had been issued, by the weighted average number of common shares outstanding during the year, plus the number of common shares that would have been outstanding if all potentially dilutive common shares had been issued, using the treasury stock method, in accordance with ASC 260-10 “Earnings per Share”.</w:t>
      </w:r>
    </w:p>
    <w:p>
      <w:pPr>
        <w:spacing w:after="0" w:line="188"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2017 and December 31, 2016, since all such securities have an anti-dilutive effect.</w:t>
      </w:r>
    </w:p>
    <w:p>
      <w:pPr>
        <w:spacing w:after="0" w:line="170"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The weighted average number of shares outstanding has been retroactively restated for the equivalent number of shares received by the accounting acquirer as a result of the reverse recapitalization as if these shares had been outstanding as of the beginning of the earliest period presented.</w:t>
      </w:r>
    </w:p>
    <w:p>
      <w:pPr>
        <w:spacing w:after="0" w:line="177" w:lineRule="exact"/>
        <w:rPr>
          <w:sz w:val="20"/>
          <w:szCs w:val="20"/>
          <w:color w:val="auto"/>
        </w:rPr>
      </w:pPr>
    </w:p>
    <w:p>
      <w:pPr>
        <w:ind w:left="566" w:hanging="566"/>
        <w:spacing w:after="0"/>
        <w:tabs>
          <w:tab w:leader="none" w:pos="56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 net:</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7" w:lineRule="exact"/>
        <w:rPr>
          <w:sz w:val="20"/>
          <w:szCs w:val="20"/>
          <w:color w:val="auto"/>
        </w:rPr>
      </w:pPr>
    </w:p>
    <w:p>
      <w:pPr>
        <w:ind w:left="566" w:hanging="566"/>
        <w:spacing w:after="0"/>
        <w:tabs>
          <w:tab w:leader="none" w:pos="56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Proceeds from the sale of debt securities with a conversion feature are allocated to equity based on the intrinsic value of such conversion feature in accordance with ASC 470-20 “Debt with Conversion and Other Options”, with a corresponding discount on the debt instrument recorded in liabilities which is amortized in finance expense over the term of the notes.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Convertible notes with characteristics of both liabilities and equity are classified as either debt or equity based on the characteristics of its monetary value, with convertible notes classified as debt being measured at fair value, in accordance with ASC 480-10, “Accounting for Certain Financial instruments with Characteristics of both Liabilities and Equity”.</w:t>
      </w:r>
    </w:p>
    <w:p>
      <w:pPr>
        <w:spacing w:after="0" w:line="177" w:lineRule="exact"/>
        <w:rPr>
          <w:sz w:val="20"/>
          <w:szCs w:val="20"/>
          <w:color w:val="auto"/>
        </w:rPr>
      </w:pPr>
    </w:p>
    <w:p>
      <w:pPr>
        <w:ind w:left="566" w:hanging="566"/>
        <w:spacing w:after="0"/>
        <w:tabs>
          <w:tab w:leader="none" w:pos="56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w:t>
      </w:r>
    </w:p>
    <w:p>
      <w:pPr>
        <w:spacing w:after="0" w:line="181" w:lineRule="exact"/>
        <w:rPr>
          <w:sz w:val="20"/>
          <w:szCs w:val="20"/>
          <w:color w:val="auto"/>
        </w:rPr>
      </w:pPr>
    </w:p>
    <w:p>
      <w:pPr>
        <w:jc w:val="both"/>
        <w:ind w:left="506"/>
        <w:spacing w:after="0" w:line="259" w:lineRule="auto"/>
        <w:rPr>
          <w:sz w:val="20"/>
          <w:szCs w:val="20"/>
          <w:color w:val="auto"/>
        </w:rPr>
      </w:pPr>
      <w:r>
        <w:rPr>
          <w:rFonts w:ascii="Arial" w:cs="Arial" w:eastAsia="Arial" w:hAnsi="Arial"/>
          <w:sz w:val="18"/>
          <w:szCs w:val="18"/>
          <w:color w:val="auto"/>
        </w:rPr>
        <w:t>The Company accounts for stock-based compensation awards to non-employees in accordance with FASB ASC 505-50, “Equity-Based Payments to Non-Employees” (“FASB ASC 505-50”). Under FASB ASC 505-50, the Company determines the fair value of the warrants or stock-based compensation awards granted as either the fair value of the consideration received or the fair value of the equity instruments issued, whichever is more reliably measurable.</w:t>
      </w:r>
    </w:p>
    <w:p>
      <w:pPr>
        <w:spacing w:after="0" w:line="187" w:lineRule="exact"/>
        <w:rPr>
          <w:sz w:val="20"/>
          <w:szCs w:val="20"/>
          <w:color w:val="auto"/>
        </w:rPr>
      </w:pPr>
    </w:p>
    <w:p>
      <w:pPr>
        <w:jc w:val="both"/>
        <w:ind w:left="506"/>
        <w:spacing w:after="0" w:line="289" w:lineRule="auto"/>
        <w:rPr>
          <w:sz w:val="20"/>
          <w:szCs w:val="20"/>
          <w:color w:val="auto"/>
        </w:rPr>
      </w:pPr>
      <w:r>
        <w:rPr>
          <w:rFonts w:ascii="Arial" w:cs="Arial" w:eastAsia="Arial" w:hAnsi="Arial"/>
          <w:sz w:val="16"/>
          <w:szCs w:val="16"/>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67"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5" w:right="239" w:bottom="1440" w:gutter="0" w:footer="0" w:header="0"/>
        </w:sectPr>
      </w:pPr>
    </w:p>
    <w:bookmarkStart w:id="43" w:name="page44"/>
    <w:bookmarkEnd w:id="43"/>
    <w:p>
      <w:pPr>
        <w:ind w:left="566" w:hanging="566"/>
        <w:spacing w:after="0"/>
        <w:tabs>
          <w:tab w:leader="none" w:pos="5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ind w:left="506"/>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sz w:val="20"/>
          <w:szCs w:val="20"/>
          <w:color w:val="auto"/>
        </w:rPr>
      </w:pPr>
    </w:p>
    <w:p>
      <w:pPr>
        <w:ind w:left="566" w:hanging="566"/>
        <w:spacing w:after="0"/>
        <w:tabs>
          <w:tab w:leader="none" w:pos="56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Costs</w:t>
      </w:r>
    </w:p>
    <w:p>
      <w:pPr>
        <w:spacing w:after="0" w:line="229" w:lineRule="exact"/>
        <w:rPr>
          <w:sz w:val="20"/>
          <w:szCs w:val="20"/>
          <w:color w:val="auto"/>
        </w:rPr>
      </w:pPr>
    </w:p>
    <w:p>
      <w:pPr>
        <w:ind w:left="506"/>
        <w:spacing w:after="0"/>
        <w:rPr>
          <w:sz w:val="20"/>
          <w:szCs w:val="20"/>
          <w:color w:val="auto"/>
        </w:rPr>
      </w:pPr>
      <w:r>
        <w:rPr>
          <w:rFonts w:ascii="Arial" w:cs="Arial" w:eastAsia="Arial" w:hAnsi="Arial"/>
          <w:sz w:val="16"/>
          <w:szCs w:val="16"/>
          <w:color w:val="auto"/>
        </w:rPr>
        <w:t>Transaction costs incurred in the Merger were charged directly to equity to the extent of cash and net other current assets acquired.</w:t>
      </w:r>
    </w:p>
    <w:p>
      <w:pPr>
        <w:spacing w:after="0" w:line="46" w:lineRule="exact"/>
        <w:rPr>
          <w:sz w:val="20"/>
          <w:szCs w:val="20"/>
          <w:color w:val="auto"/>
        </w:rPr>
      </w:pPr>
    </w:p>
    <w:p>
      <w:pPr>
        <w:ind w:left="506"/>
        <w:spacing w:after="0"/>
        <w:rPr>
          <w:sz w:val="20"/>
          <w:szCs w:val="20"/>
          <w:color w:val="auto"/>
        </w:rPr>
      </w:pPr>
      <w:r>
        <w:rPr>
          <w:rFonts w:ascii="Arial" w:cs="Arial" w:eastAsia="Arial" w:hAnsi="Arial"/>
          <w:sz w:val="18"/>
          <w:szCs w:val="18"/>
          <w:color w:val="auto"/>
        </w:rPr>
        <w:t>Transaction costs in excess of cash acquired were charged to general and administrative expenses.</w:t>
      </w:r>
    </w:p>
    <w:p>
      <w:pPr>
        <w:spacing w:after="0" w:line="207" w:lineRule="exact"/>
        <w:rPr>
          <w:sz w:val="20"/>
          <w:szCs w:val="20"/>
          <w:color w:val="auto"/>
        </w:rPr>
      </w:pPr>
    </w:p>
    <w:p>
      <w:pPr>
        <w:ind w:left="566" w:hanging="566"/>
        <w:spacing w:after="0"/>
        <w:tabs>
          <w:tab w:leader="none" w:pos="56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506"/>
        <w:spacing w:after="0" w:line="257" w:lineRule="auto"/>
        <w:rPr>
          <w:sz w:val="20"/>
          <w:szCs w:val="20"/>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2017, and 2016, the Company had a full valuation allowance against deferred tax assets.</w:t>
      </w:r>
    </w:p>
    <w:p>
      <w:pPr>
        <w:spacing w:after="0" w:line="184" w:lineRule="exact"/>
        <w:rPr>
          <w:sz w:val="20"/>
          <w:szCs w:val="20"/>
          <w:color w:val="auto"/>
        </w:rPr>
      </w:pPr>
    </w:p>
    <w:p>
      <w:pPr>
        <w:ind w:left="566" w:hanging="566"/>
        <w:spacing w:after="0"/>
        <w:tabs>
          <w:tab w:leader="none" w:pos="56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506"/>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Company has not yet generated revenues to date, and does not yet know the impact the standard may have on its consolidated financial statements.</w:t>
      </w:r>
    </w:p>
    <w:p>
      <w:pPr>
        <w:spacing w:after="0" w:line="178" w:lineRule="exact"/>
        <w:rPr>
          <w:sz w:val="20"/>
          <w:szCs w:val="20"/>
          <w:color w:val="auto"/>
        </w:rPr>
      </w:pPr>
    </w:p>
    <w:p>
      <w:pPr>
        <w:jc w:val="both"/>
        <w:ind w:left="506"/>
        <w:spacing w:after="0" w:line="290" w:lineRule="auto"/>
        <w:rPr>
          <w:sz w:val="20"/>
          <w:szCs w:val="20"/>
          <w:color w:val="auto"/>
        </w:rPr>
      </w:pPr>
      <w:r>
        <w:rPr>
          <w:rFonts w:ascii="Arial" w:cs="Arial" w:eastAsia="Arial" w:hAnsi="Arial"/>
          <w:sz w:val="16"/>
          <w:szCs w:val="16"/>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9) and will likely have an insignificant impact on the consolidated statements of comprehensive loss.</w:t>
      </w:r>
    </w:p>
    <w:p>
      <w:pPr>
        <w:spacing w:after="0" w:line="166" w:lineRule="exact"/>
        <w:rPr>
          <w:sz w:val="20"/>
          <w:szCs w:val="20"/>
          <w:color w:val="auto"/>
        </w:rPr>
      </w:pPr>
    </w:p>
    <w:p>
      <w:pPr>
        <w:jc w:val="both"/>
        <w:ind w:left="506"/>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88"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1" w:right="239" w:bottom="1440" w:gutter="0" w:footer="0" w:header="0"/>
        </w:sectPr>
      </w:pPr>
    </w:p>
    <w:bookmarkStart w:id="44" w:name="page45"/>
    <w:bookmarkEnd w:id="44"/>
    <w:p>
      <w:pPr>
        <w:jc w:val="both"/>
        <w:ind w:left="1540"/>
        <w:spacing w:after="0" w:line="297" w:lineRule="auto"/>
        <w:rPr>
          <w:sz w:val="20"/>
          <w:szCs w:val="20"/>
          <w:color w:val="auto"/>
        </w:rPr>
      </w:pPr>
      <w:r>
        <w:rPr>
          <w:rFonts w:ascii="Arial" w:cs="Arial" w:eastAsia="Arial" w:hAnsi="Arial"/>
          <w:sz w:val="16"/>
          <w:szCs w:val="16"/>
          <w:color w:val="auto"/>
        </w:rPr>
        <w:t>In November 2016, the FASB issued ASU 2016-18 “Restricted Cash” to provide guidance on the presentation of restricted cash in the statement of cash flows. Currently, the statement of cash flows explained the change in cash and cash equivalents for the period. The ASU requires that the statement of cash flows explain the change in cash, cash equivalents and restricted cash for the period. The ASU is effective for the Company in the first quarter of 2018, with early adoption permitted. The Company does not expect the adoption to have a material effect on the statements of cash flows as the Company’s restricted cash is not expected to be material.</w:t>
      </w:r>
    </w:p>
    <w:p>
      <w:pPr>
        <w:spacing w:after="0" w:line="158" w:lineRule="exact"/>
        <w:rPr>
          <w:sz w:val="20"/>
          <w:szCs w:val="20"/>
          <w:color w:val="auto"/>
        </w:rPr>
      </w:pPr>
    </w:p>
    <w:p>
      <w:pPr>
        <w:jc w:val="both"/>
        <w:ind w:left="1540"/>
        <w:spacing w:after="0" w:line="272" w:lineRule="auto"/>
        <w:rPr>
          <w:sz w:val="20"/>
          <w:szCs w:val="20"/>
          <w:color w:val="auto"/>
        </w:rPr>
      </w:pPr>
      <w:r>
        <w:rPr>
          <w:rFonts w:ascii="Arial" w:cs="Arial" w:eastAsia="Arial" w:hAnsi="Arial"/>
          <w:sz w:val="17"/>
          <w:szCs w:val="17"/>
          <w:color w:val="auto"/>
        </w:rPr>
        <w:t>In May 2017, the Financial Accounting Standards Board (“FASB”) issued Accounting Standards Update (“ASU”) No. 2017-09, “Compensation-Stock Compensation (Topic 718): Scope of Modification Accounting,” which clarifies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new guidance is effective for the Company on a prospective basis beginning on January 1, 2018 and early adoption is permitted. The Company does not expect to change terms or conditions of share-based payment awards, and therefore, does not expect the adoption of this standard to have a material impact on its consolidated financial statements.</w:t>
      </w:r>
    </w:p>
    <w:p>
      <w:pPr>
        <w:spacing w:after="0" w:line="178" w:lineRule="exact"/>
        <w:rPr>
          <w:sz w:val="20"/>
          <w:szCs w:val="20"/>
          <w:color w:val="auto"/>
        </w:rPr>
      </w:pPr>
    </w:p>
    <w:p>
      <w:pPr>
        <w:jc w:val="both"/>
        <w:ind w:left="1540"/>
        <w:spacing w:after="0" w:line="290" w:lineRule="auto"/>
        <w:rPr>
          <w:sz w:val="20"/>
          <w:szCs w:val="20"/>
          <w:color w:val="auto"/>
        </w:rPr>
      </w:pPr>
      <w:r>
        <w:rPr>
          <w:rFonts w:ascii="Arial" w:cs="Arial" w:eastAsia="Arial" w:hAnsi="Arial"/>
          <w:sz w:val="16"/>
          <w:szCs w:val="16"/>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8 which upon adoption of the new standard are expected to be classified as equity.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NOTE 3 - OTHER CURRENT ASSETS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Deposit in escrow account (*)</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Government institutions</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others</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6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Purchase Agreement with BOCO</w:t>
      </w:r>
    </w:p>
    <w:p>
      <w:pPr>
        <w:spacing w:after="0" w:line="229" w:lineRule="exact"/>
        <w:rPr>
          <w:sz w:val="20"/>
          <w:szCs w:val="20"/>
          <w:color w:val="auto"/>
        </w:rPr>
      </w:pPr>
    </w:p>
    <w:p>
      <w:pPr>
        <w:jc w:val="both"/>
        <w:ind w:left="1020"/>
        <w:spacing w:after="0" w:line="312" w:lineRule="auto"/>
        <w:rPr>
          <w:sz w:val="20"/>
          <w:szCs w:val="20"/>
          <w:color w:val="auto"/>
        </w:rPr>
      </w:pPr>
      <w:r>
        <w:rPr>
          <w:rFonts w:ascii="Arial" w:cs="Arial" w:eastAsia="Arial" w:hAnsi="Arial"/>
          <w:sz w:val="16"/>
          <w:szCs w:val="16"/>
          <w:color w:val="auto"/>
        </w:rPr>
        <w:t>On November 11, 2016, the Company, together with two of its wholly-owned subsidiaries, Stem Cell Sciences Holdings Limited and StemCells California, Inc. (collectively, with the Company, the “Sellers”), entered into an Asset Purchase Agreement (the “Asset Purchase Agreement”) with BOCO Silicon Valley, Inc., a California corporation and wholly-owned subsidiary of Bright Oceans Corporation (“BOCO US”).</w:t>
      </w:r>
    </w:p>
    <w:p>
      <w:pPr>
        <w:spacing w:after="0" w:line="147"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Pursuant to the terms and subject to the conditions set forth in the Asset Purchase Agreement, the Sellers sold to BOCO US certain stem and progenitor cell lines that have been researched, studied or manufactured by the Company since 2007 (the “Cell Lines”) and certain other tangible and intangible assets, including intellectual property and books and records, related to the foregoing (together with the Cell Lines, the “Assets”) in exchange for $4 million in cash (the “Asset Consideration”).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left="1020"/>
        <w:spacing w:after="0" w:line="273" w:lineRule="auto"/>
        <w:rPr>
          <w:sz w:val="20"/>
          <w:szCs w:val="20"/>
          <w:color w:val="auto"/>
        </w:rPr>
      </w:pPr>
      <w:r>
        <w:rPr>
          <w:rFonts w:ascii="Arial" w:cs="Arial" w:eastAsia="Arial" w:hAnsi="Arial"/>
          <w:sz w:val="17"/>
          <w:szCs w:val="17"/>
          <w:color w:val="auto"/>
        </w:rPr>
        <w:t>Of the Asset Consideration, $300 was provided to the Company prior to November 11, 2016 in exchange for the Sellers’ agreement not to solicit or reach any agreement with any third party pertaining to the sale of the Assets, and $400 will remain in a twelve-month escrow for the benefit of BOCO US to satisfy certain indemnification obligations of the Sellers which may arise and which, subject to any valid indemnification claims of BOCO US, will be released to the Company at the end of such 12-month period. In addition, sixteen former employees of the Company received, in the aggregate, $495 in accordance with their June 2016 agreements with the Company under which each accepted a more than 50% reduction in his or her severance award otherwise payable.</w:t>
      </w:r>
    </w:p>
    <w:p>
      <w:pPr>
        <w:spacing w:after="0" w:line="178"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Asset Purchase Agreement contains certain covenants prohibiting the Sellers from, during the four-year period immediately following the completion of the Asset Sale, (a) engaging in or having certain financial interests in a business that is engaged in the research, development or commercialization of the Cell Lines, or (b) soliciting for employment employees of BOCO US.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 November 29, 2016, the Sellers completed the sale of the Assets.</w:t>
      </w:r>
    </w:p>
    <w:p>
      <w:pPr>
        <w:spacing w:after="0" w:line="225"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As of December 31, 2017, the Company received $320 from the escrow account and paid $80 to certain consultant relating to BOCO transaction.</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opening balance sheet as of the Merger date included a receivable balance with respect to sale of the Assets of $3.5 which fully collected as of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NOTE 4 - FIXED ASSETS, NET</w:t>
            </w: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00" w:type="dxa"/>
            <w:vAlign w:val="bottom"/>
            <w:tcBorders>
              <w:top w:val="single" w:sz="8" w:color="CCEEFF"/>
              <w:bottom w:val="single" w:sz="8" w:color="CCEEFF"/>
            </w:tcBorders>
          </w:tcPr>
          <w:p>
            <w:pPr>
              <w:spacing w:after="0"/>
              <w:rPr>
                <w:sz w:val="18"/>
                <w:szCs w:val="18"/>
                <w:color w:val="auto"/>
              </w:rPr>
            </w:pPr>
          </w:p>
        </w:tc>
        <w:tc>
          <w:tcPr>
            <w:tcW w:w="25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28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500" w:type="dxa"/>
            <w:vAlign w:val="bottom"/>
            <w:tcBorders>
              <w:top w:val="single" w:sz="8" w:color="CCEEFF"/>
              <w:bottom w:val="single" w:sz="8" w:color="CCEEFF"/>
            </w:tcBorders>
          </w:tcPr>
          <w:p>
            <w:pPr>
              <w:spacing w:after="0"/>
              <w:rPr>
                <w:sz w:val="22"/>
                <w:szCs w:val="22"/>
                <w:color w:val="auto"/>
              </w:rPr>
            </w:pPr>
          </w:p>
        </w:tc>
        <w:tc>
          <w:tcPr>
            <w:tcW w:w="25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 ACCRUED LIABILITIES</w:t>
            </w: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2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Government institution</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390"/>
              <w:spacing w:after="0"/>
              <w:rPr>
                <w:sz w:val="20"/>
                <w:szCs w:val="20"/>
                <w:color w:val="auto"/>
              </w:rPr>
            </w:pPr>
            <w:r>
              <w:rPr>
                <w:rFonts w:ascii="Arial" w:cs="Arial" w:eastAsia="Arial" w:hAnsi="Arial"/>
                <w:sz w:val="18"/>
                <w:szCs w:val="18"/>
                <w:color w:val="auto"/>
              </w:rPr>
              <w:t>F-14</w:t>
            </w: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6 - CONVERTIBLE LOAN FROM SHAREHOLDERS</w:t>
      </w:r>
    </w:p>
    <w:p>
      <w:pPr>
        <w:spacing w:after="0" w:line="229"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On October 8, 2015, Microbot Israel entered into a convertible loan agreement with several investors who were also existing shareholders. According to the loan agreement, Microbot Israel received an amount of $419. The loan bore interest of 10% and was converted to both equity shares and preferred shares warrants of Microbot Israel on the nine-month anniversary of the loan. The Company concluded the conversion feature is not a Beneficial Conversion Feature pursuant to the provisions of ASC 470-20, “Debt with Conversion and Other Options”. Accordingly, the proceeds were recorded in liabilities in their entirety at the date of issuance.</w:t>
      </w:r>
    </w:p>
    <w:p>
      <w:pPr>
        <w:spacing w:after="0" w:line="173" w:lineRule="exact"/>
        <w:rPr>
          <w:sz w:val="20"/>
          <w:szCs w:val="20"/>
          <w:color w:val="auto"/>
        </w:rPr>
      </w:pPr>
    </w:p>
    <w:p>
      <w:pPr>
        <w:jc w:val="both"/>
        <w:ind w:left="1020"/>
        <w:spacing w:after="0" w:line="286" w:lineRule="auto"/>
        <w:rPr>
          <w:sz w:val="20"/>
          <w:szCs w:val="20"/>
          <w:color w:val="auto"/>
        </w:rPr>
      </w:pPr>
      <w:r>
        <w:rPr>
          <w:rFonts w:ascii="Arial" w:cs="Arial" w:eastAsia="Arial" w:hAnsi="Arial"/>
          <w:sz w:val="17"/>
          <w:szCs w:val="17"/>
          <w:color w:val="auto"/>
        </w:rPr>
        <w:t>On July 7, 2016, the outstanding principal and accrued interest were converted into 1,315,023 Series A preferred shares, of Microbot Israel (the “Series A Preferred Shares”) and 1,188,275 warrants to purchase the Series A Preferred Shares, at an exercise price of $1.00 per share. The preferred shares warrants were exercised in full in September 2016 for total gross proceeds to Microbot Israel of $410.</w:t>
      </w:r>
    </w:p>
    <w:p>
      <w:pPr>
        <w:spacing w:after="0" w:line="166"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On May 11, 2016, Microbot Israel entered into a convertible loan agreement with several investors who were also existing shareholders. The loan bore interest at a fixed rate of 10% per annum beginning on the issuance date.</w:t>
      </w:r>
    </w:p>
    <w:p>
      <w:pPr>
        <w:spacing w:after="0" w:line="170"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At maturity, all of the outstanding principal and accrued interest was converted into Microbot Israel’s ordinary shares subject to the conversion or default events specified in the loan agreement, based on a conversion price that represents a 20% discount on Microbot Israel’s valuation upon such default events.</w:t>
      </w:r>
    </w:p>
    <w:p>
      <w:pPr>
        <w:spacing w:after="0" w:line="181"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On November 28, 2016, upon the consummation of the Merger, the loan was converted into an aggregate of 151,119 shares (2,242,939 shares before the Reverse Split) of Company’s common stock.</w:t>
      </w:r>
    </w:p>
    <w:p>
      <w:pPr>
        <w:spacing w:after="0" w:line="170" w:lineRule="exact"/>
        <w:rPr>
          <w:sz w:val="20"/>
          <w:szCs w:val="20"/>
          <w:color w:val="auto"/>
        </w:rPr>
      </w:pPr>
    </w:p>
    <w:p>
      <w:pPr>
        <w:jc w:val="both"/>
        <w:ind w:left="1020"/>
        <w:spacing w:after="0" w:line="312" w:lineRule="auto"/>
        <w:rPr>
          <w:sz w:val="20"/>
          <w:szCs w:val="20"/>
          <w:color w:val="auto"/>
        </w:rPr>
      </w:pPr>
      <w:r>
        <w:rPr>
          <w:rFonts w:ascii="Arial" w:cs="Arial" w:eastAsia="Arial" w:hAnsi="Arial"/>
          <w:sz w:val="16"/>
          <w:szCs w:val="16"/>
          <w:color w:val="auto"/>
        </w:rPr>
        <w:t>The Company concluded the value of the loan is predominantly based on a fixed monetary amount known at the date of issuance as represented by the 20% discount on the Company’s valuation. Accordingly, the loan was classified as debt and was measured at its fair value, pursuant to the provisions of ASC 480-10, “Accounting for Certain Financial instruments with Characteristics of both Liabilities and Equity”.</w:t>
      </w:r>
    </w:p>
    <w:p>
      <w:pPr>
        <w:spacing w:after="0" w:line="147"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fair value of the loan was measured based on observable inputs as the fixed monetary value of the variable number of shares to be issued upon conversion (level 2 measurement).</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Secured note to Alpha Capital Anstalt:</w:t>
      </w:r>
    </w:p>
    <w:p>
      <w:pPr>
        <w:spacing w:after="0" w:line="229" w:lineRule="exact"/>
        <w:rPr>
          <w:sz w:val="20"/>
          <w:szCs w:val="20"/>
          <w:color w:val="auto"/>
        </w:rPr>
      </w:pPr>
    </w:p>
    <w:p>
      <w:pPr>
        <w:jc w:val="both"/>
        <w:ind w:left="1020"/>
        <w:spacing w:after="0" w:line="291" w:lineRule="auto"/>
        <w:rPr>
          <w:sz w:val="20"/>
          <w:szCs w:val="20"/>
          <w:color w:val="auto"/>
        </w:rPr>
      </w:pPr>
      <w:r>
        <w:rPr>
          <w:rFonts w:ascii="Arial" w:cs="Arial" w:eastAsia="Arial" w:hAnsi="Arial"/>
          <w:sz w:val="16"/>
          <w:szCs w:val="16"/>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w:t>
      </w:r>
    </w:p>
    <w:p>
      <w:pPr>
        <w:ind w:left="1020" w:firstLine="9"/>
        <w:spacing w:after="0" w:line="261" w:lineRule="auto"/>
        <w:tabs>
          <w:tab w:leader="none" w:pos="12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 days following the consummation of the Merger and (ii) December 31, 2016. Proceeds from the Note were used for the payment of costs and expenses in connection with the Merger and operational expenses leading to such Closing.</w:t>
      </w:r>
    </w:p>
    <w:p>
      <w:pPr>
        <w:spacing w:after="0" w:line="184"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Note bears interest at 6% per annum, payable monthly in arrears on the first of the month, beginning on January 1, 2017 until the principal amount is paid in full. In addition, the Note is secured by a first priority security interest in all of the Company’s intellectual property and certain other general assets pursuant to a Security Agreement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1020"/>
        <w:spacing w:after="0" w:line="302" w:lineRule="auto"/>
        <w:rPr>
          <w:sz w:val="20"/>
          <w:szCs w:val="20"/>
          <w:color w:val="auto"/>
        </w:rPr>
      </w:pPr>
      <w:r>
        <w:rPr>
          <w:rFonts w:ascii="Arial" w:cs="Arial" w:eastAsia="Arial" w:hAnsi="Arial"/>
          <w:sz w:val="16"/>
          <w:szCs w:val="16"/>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54"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Convertible Note was convertible into the Company’s Common Stock any time after November 28, 2017 and until the maturity date of November 28, 2019, based on a conversion price of $9.60 ($0.64 before the Reverse Split), subject to adjustments as provided in the Exchange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both"/>
        <w:ind w:left="1020"/>
        <w:spacing w:after="0" w:line="259" w:lineRule="auto"/>
        <w:rPr>
          <w:sz w:val="20"/>
          <w:szCs w:val="20"/>
          <w:color w:val="auto"/>
        </w:rPr>
      </w:pPr>
      <w:r>
        <w:rPr>
          <w:rFonts w:ascii="Arial" w:cs="Arial" w:eastAsia="Arial" w:hAnsi="Arial"/>
          <w:sz w:val="18"/>
          <w:szCs w:val="18"/>
          <w:color w:val="auto"/>
        </w:rPr>
        <w:t>Pursuant to the terms of the Convertible Note, the Company was obligated to pay interest on the outstanding principal amount owed under the Convertible Note at a fixed rate per annum of 6.0%, payable at maturity or earlier upon conversion. The Exchange Agreement contains customary representations and warranties and usual and customary affirmative and negative covenants. The Convertible Note also contained certain customary events of default.</w:t>
      </w:r>
    </w:p>
    <w:p>
      <w:pPr>
        <w:spacing w:after="0" w:line="187"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As the Exchange Agreement represented the consummation of the original intent of the Company and Alpha Capital, as of the date of execution of the Merger Agreement (August 2016), to enter into a $2 million convertible note sale transaction, upon the consummation of the Merger, the Company accounted for the convertible note in accordance with such economic substance, as if it had been issued for a cash consideration equal to the principal and accrued interest on the Note, as of the effective date of the Merger, in the amount of $2,029 (the “Assumed Consideration”), which is equal to the principal amount of the Convertible Note as determined in the Exchange Agreement.</w:t>
      </w:r>
    </w:p>
    <w:p>
      <w:pPr>
        <w:spacing w:after="0" w:line="173"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The Company concluded the conversion feature of the Convertible Note, based on the commitment date of November 28 2016 (the Exchange Agreement date), is a Beneficial Conversion Feature pursuant to the provisions of ASC 470-20, “Debt with Conversion and Other Options”. Accordingly, $2,029 of the Assumed Consideration was recorded in equity with a corresponding discount on the Convertible Note, to be amortized over its term through maturity.</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also Note 10 – Securities Exchange Agreements with Alpha Capital.</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carrying value of the Convertible Note as of the periods below was calculated as follow:</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Unamortized discount</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WARRANT LIABILITIES</w:t>
      </w:r>
    </w:p>
    <w:p>
      <w:pPr>
        <w:spacing w:after="0" w:line="229" w:lineRule="exact"/>
        <w:rPr>
          <w:sz w:val="20"/>
          <w:szCs w:val="20"/>
          <w:color w:val="auto"/>
        </w:rPr>
      </w:pPr>
    </w:p>
    <w:p>
      <w:pPr>
        <w:jc w:val="both"/>
        <w:ind w:left="1020"/>
        <w:spacing w:after="0" w:line="271" w:lineRule="auto"/>
        <w:rPr>
          <w:sz w:val="20"/>
          <w:szCs w:val="20"/>
          <w:color w:val="auto"/>
        </w:rPr>
      </w:pPr>
      <w:r>
        <w:rPr>
          <w:rFonts w:ascii="Arial" w:cs="Arial" w:eastAsia="Arial" w:hAnsi="Arial"/>
          <w:sz w:val="17"/>
          <w:szCs w:val="17"/>
          <w:color w:val="auto"/>
        </w:rPr>
        <w:t>As part of StemCell’s obligations under the Merger Agreement, in August 2016, StemCells negotiated with certain institutional holders of its 2016 Series A and Series B Warrants, issued by prior to the Merger, to have such holders surrender their 2016 Series B Warrants in exchange for a reduced exercise price of $4.45 ($0.30 before the Reverse Split) per share on their existing 2016 Series A Warrants and the elimination of the anti-dilution price protection in the 2016 Series A Warrants. As a result, the exercise price for all outstanding 2011 Series A Warrants and 2016 Series A and Series B Warrants was reset to of $4.45 ($0.30 before the Reverse Split) per share. Subsequent to the reset of the exercise price, an aggregate of 35,831 (531,814 before the Reverse Split) (from an outstanding aggregate of 38,948 (578,081 before the Reverse Split)) 2011 Series A Warrants were exercised. For the exercise of these warrants, the Company issued 35,831 shares (531,814 shares before the Reverse Split) of its common stock prior to the Merger.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remaining outstanding warrants and terms as of December 31, 2017 and 2016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as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as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0"/>
              </w:rPr>
              <w:t>as of</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6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Price (*)</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2017(*)</w:t>
            </w:r>
          </w:p>
        </w:tc>
        <w:tc>
          <w:tcPr>
            <w:tcW w:w="20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18"/>
                <w:szCs w:val="18"/>
                <w:b w:val="1"/>
                <w:bCs w:val="1"/>
                <w:color w:val="auto"/>
                <w:w w:val="89"/>
              </w:rPr>
              <w:t>Exercisable Through</w:t>
            </w:r>
          </w:p>
        </w:tc>
      </w:tr>
      <w:tr>
        <w:trPr>
          <w:trHeight w:val="216"/>
        </w:trPr>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16"/>
        </w:trPr>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Series A (2011)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2016</w:t>
            </w:r>
          </w:p>
        </w:tc>
      </w:tr>
      <w:tr>
        <w:trPr>
          <w:trHeight w:val="216"/>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Series A (2013)</w:t>
            </w:r>
          </w:p>
        </w:tc>
        <w:tc>
          <w:tcPr>
            <w:tcW w:w="1280" w:type="dxa"/>
            <w:vAlign w:val="bottom"/>
          </w:tcPr>
          <w:p>
            <w:pPr>
              <w:jc w:val="right"/>
              <w:spacing w:after="0"/>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3,895</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October 2018</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Series A (2013)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April 2023</w:t>
            </w:r>
          </w:p>
        </w:tc>
      </w:tr>
      <w:tr>
        <w:trPr>
          <w:trHeight w:val="216"/>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Series A (2015)</w:t>
            </w:r>
          </w:p>
        </w:tc>
        <w:tc>
          <w:tcPr>
            <w:tcW w:w="128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April 2020</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Series A (2016)(a)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March 2018</w:t>
            </w:r>
          </w:p>
        </w:tc>
      </w:tr>
      <w:tr>
        <w:trPr>
          <w:trHeight w:val="230"/>
        </w:trPr>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Series B (2016)(a)</w:t>
            </w:r>
          </w:p>
        </w:tc>
        <w:tc>
          <w:tcPr>
            <w:tcW w:w="1280" w:type="dxa"/>
            <w:vAlign w:val="bottom"/>
          </w:tcPr>
          <w:p>
            <w:pPr>
              <w:jc w:val="right"/>
              <w:spacing w:after="0"/>
              <w:rPr>
                <w:sz w:val="20"/>
                <w:szCs w:val="20"/>
                <w:color w:val="auto"/>
              </w:rPr>
            </w:pPr>
            <w:r>
              <w:rPr>
                <w:rFonts w:ascii="Arial" w:cs="Arial" w:eastAsia="Arial" w:hAnsi="Arial"/>
                <w:sz w:val="18"/>
                <w:szCs w:val="18"/>
                <w:color w:val="auto"/>
              </w:rPr>
              <w:t>2,770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2,770</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March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128270</wp:posOffset>
            </wp:positionV>
            <wp:extent cx="16465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8" w:lineRule="exact"/>
        <w:rPr>
          <w:sz w:val="20"/>
          <w:szCs w:val="20"/>
          <w:color w:val="auto"/>
        </w:rPr>
      </w:pPr>
    </w:p>
    <w:p>
      <w:pPr>
        <w:ind w:left="440" w:hanging="426"/>
        <w:spacing w:after="0" w:line="258"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December 31 2017 and 2016 warrants data represents the number of shares adjusted to retroactively reflect the 1:15 Reverse Split effected on September 4, 2018.</w:t>
      </w:r>
    </w:p>
    <w:p>
      <w:pPr>
        <w:spacing w:after="0" w:line="1" w:lineRule="exact"/>
        <w:rPr>
          <w:sz w:val="20"/>
          <w:szCs w:val="20"/>
          <w:color w:val="auto"/>
        </w:rPr>
      </w:pPr>
    </w:p>
    <w:p>
      <w:pPr>
        <w:jc w:val="both"/>
        <w:ind w:left="440" w:hanging="426"/>
        <w:spacing w:after="0" w:line="270"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December 31, 2017 and December 31, 2016, was approximately $28 and $313, respectively.</w:t>
      </w:r>
    </w:p>
    <w:p>
      <w:pPr>
        <w:spacing w:after="0" w:line="178" w:lineRule="exact"/>
        <w:rPr>
          <w:rFonts w:ascii="Arial" w:cs="Arial" w:eastAsia="Arial" w:hAnsi="Arial"/>
          <w:sz w:val="17"/>
          <w:szCs w:val="17"/>
          <w:color w:val="auto"/>
        </w:rPr>
      </w:pPr>
    </w:p>
    <w:p>
      <w:pPr>
        <w:ind w:left="440" w:right="20"/>
        <w:spacing w:after="0" w:line="277" w:lineRule="auto"/>
        <w:rPr>
          <w:rFonts w:ascii="Arial" w:cs="Arial" w:eastAsia="Arial" w:hAnsi="Arial"/>
          <w:sz w:val="17"/>
          <w:szCs w:val="17"/>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2 measurement).</w:t>
      </w:r>
    </w:p>
    <w:p>
      <w:pPr>
        <w:spacing w:after="0" w:line="170" w:lineRule="exact"/>
        <w:rPr>
          <w:rFonts w:ascii="Arial" w:cs="Arial" w:eastAsia="Arial" w:hAnsi="Arial"/>
          <w:sz w:val="17"/>
          <w:szCs w:val="17"/>
          <w:color w:val="auto"/>
        </w:rPr>
      </w:pPr>
    </w:p>
    <w:p>
      <w:pPr>
        <w:jc w:val="both"/>
        <w:ind w:left="440"/>
        <w:spacing w:after="0" w:line="297" w:lineRule="auto"/>
        <w:rPr>
          <w:rFonts w:ascii="Arial" w:cs="Arial" w:eastAsia="Arial" w:hAnsi="Arial"/>
          <w:sz w:val="17"/>
          <w:szCs w:val="17"/>
          <w:color w:val="auto"/>
        </w:rPr>
      </w:pPr>
      <w:r>
        <w:rPr>
          <w:rFonts w:ascii="Arial" w:cs="Arial" w:eastAsia="Arial" w:hAnsi="Arial"/>
          <w:sz w:val="16"/>
          <w:szCs w:val="16"/>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58" w:lineRule="exact"/>
        <w:rPr>
          <w:rFonts w:ascii="Arial" w:cs="Arial" w:eastAsia="Arial" w:hAnsi="Arial"/>
          <w:sz w:val="17"/>
          <w:szCs w:val="17"/>
          <w:color w:val="auto"/>
        </w:rPr>
      </w:pPr>
    </w:p>
    <w:p>
      <w:pPr>
        <w:ind w:left="440" w:hanging="426"/>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March 2017, an institutional holder executed a cashless exercise of 51 warrants (768 before the Reverse Split) and 24 shares (359 shares before the Reverse Split) of Common Stock were issued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observable inputs used in the valuation of the derivative warrant liabilities as of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Series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6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8"/>
        </w:trPr>
        <w:tc>
          <w:tcPr>
            <w:tcW w:w="27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(2015)</w:t>
            </w:r>
          </w:p>
        </w:tc>
        <w:tc>
          <w:tcPr>
            <w:tcW w:w="220" w:type="dxa"/>
            <w:vAlign w:val="bottom"/>
          </w:tcPr>
          <w:p>
            <w:pPr>
              <w:spacing w:after="0"/>
              <w:rPr>
                <w:sz w:val="23"/>
                <w:szCs w:val="23"/>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27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Exercised</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Changes in fair value</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3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137160</wp:posOffset>
            </wp:positionV>
            <wp:extent cx="16465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440" w:hanging="426"/>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540" w:right="660" w:hanging="4526"/>
        <w:spacing w:after="0" w:line="511" w:lineRule="auto"/>
        <w:tabs>
          <w:tab w:leader="none" w:pos="4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data represents the number of shares adjusted to retroactively reflect the 1:15 Reverse Split effected on September 4, 2018.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-147320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00"/>
          </w:cols>
          <w:pgMar w:left="1260" w:top="665" w:right="239" w:bottom="1440" w:gutter="0" w:footer="0" w:header="0"/>
        </w:sectPr>
      </w:pPr>
    </w:p>
    <w:bookmarkStart w:id="49" w:name="page50"/>
    <w:bookmarkEnd w:id="49"/>
    <w:p>
      <w:pPr>
        <w:ind w:left="1020"/>
        <w:spacing w:after="0"/>
        <w:rPr>
          <w:sz w:val="20"/>
          <w:szCs w:val="20"/>
          <w:color w:val="auto"/>
        </w:rPr>
      </w:pPr>
      <w:r>
        <w:rPr>
          <w:rFonts w:ascii="Arial" w:cs="Arial" w:eastAsia="Arial" w:hAnsi="Arial"/>
          <w:sz w:val="16"/>
          <w:szCs w:val="16"/>
          <w:color w:val="auto"/>
        </w:rPr>
        <w:t>The following table summarizes the observable inputs used in the valuation of the derivative warrant liabilities as of December 31, 2017 and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December 31, 2016:</w:t>
      </w:r>
    </w:p>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4"/>
          </w:tcPr>
          <w:p>
            <w:pPr>
              <w:jc w:val="right"/>
              <w:ind w:right="677"/>
              <w:spacing w:after="0"/>
              <w:rPr>
                <w:sz w:val="20"/>
                <w:szCs w:val="20"/>
                <w:color w:val="auto"/>
              </w:rPr>
            </w:pPr>
            <w:r>
              <w:rPr>
                <w:rFonts w:ascii="Arial" w:cs="Arial" w:eastAsia="Arial" w:hAnsi="Arial"/>
                <w:sz w:val="18"/>
                <w:szCs w:val="18"/>
                <w:b w:val="1"/>
                <w:bCs w:val="1"/>
                <w:color w:val="auto"/>
              </w:rPr>
              <w:t>As of</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4"/>
          </w:tcPr>
          <w:p>
            <w:pPr>
              <w:jc w:val="right"/>
              <w:ind w:right="697"/>
              <w:spacing w:after="0"/>
              <w:rPr>
                <w:sz w:val="20"/>
                <w:szCs w:val="20"/>
                <w:color w:val="auto"/>
              </w:rPr>
            </w:pPr>
            <w:r>
              <w:rPr>
                <w:rFonts w:ascii="Arial" w:cs="Arial" w:eastAsia="Arial" w:hAnsi="Arial"/>
                <w:sz w:val="18"/>
                <w:szCs w:val="18"/>
                <w:b w:val="1"/>
                <w:bCs w:val="1"/>
                <w:color w:val="auto"/>
              </w:rPr>
              <w:t>As of</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8"/>
        </w:trPr>
        <w:tc>
          <w:tcPr>
            <w:tcW w:w="2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8"/>
                <w:szCs w:val="18"/>
                <w:b w:val="1"/>
                <w:bCs w:val="1"/>
                <w:color w:val="auto"/>
              </w:rPr>
              <w:t>December 31, 2017(*)</w:t>
            </w:r>
          </w:p>
        </w:tc>
        <w:tc>
          <w:tcPr>
            <w:tcW w:w="4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8"/>
                <w:szCs w:val="18"/>
                <w:b w:val="1"/>
                <w:bCs w:val="1"/>
                <w:color w:val="auto"/>
              </w:rPr>
              <w:t>December 31, 2016(*)</w:t>
            </w:r>
          </w:p>
        </w:tc>
        <w:tc>
          <w:tcPr>
            <w:tcW w:w="4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28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Series B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B (2016)</w:t>
            </w:r>
          </w:p>
        </w:tc>
        <w:tc>
          <w:tcPr>
            <w:tcW w:w="160" w:type="dxa"/>
            <w:vAlign w:val="bottom"/>
            <w:tcBorders>
              <w:bottom w:val="single" w:sz="8" w:color="CCEEFF"/>
            </w:tcBorders>
          </w:tcPr>
          <w:p>
            <w:pPr>
              <w:spacing w:after="0"/>
              <w:rPr>
                <w:sz w:val="20"/>
                <w:szCs w:val="20"/>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Exercise price</w:t>
            </w:r>
          </w:p>
        </w:tc>
        <w:tc>
          <w:tcPr>
            <w:tcW w:w="10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88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44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9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Risk-free interest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128270</wp:posOffset>
            </wp:positionV>
            <wp:extent cx="16465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8" w:lineRule="exact"/>
        <w:rPr>
          <w:sz w:val="20"/>
          <w:szCs w:val="20"/>
          <w:color w:val="auto"/>
        </w:rPr>
      </w:pPr>
    </w:p>
    <w:p>
      <w:pPr>
        <w:ind w:left="1460" w:right="20" w:hanging="426"/>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Activity in such liabilities measured on a recurring basis is as follows:</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226695</wp:posOffset>
            </wp:positionV>
            <wp:extent cx="18097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(in thousands)</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201" w:lineRule="exact"/>
              <w:rPr>
                <w:sz w:val="20"/>
                <w:szCs w:val="20"/>
                <w:color w:val="auto"/>
              </w:rPr>
            </w:pPr>
            <w:r>
              <w:rPr>
                <w:rFonts w:ascii="Arial" w:cs="Arial" w:eastAsia="Arial" w:hAnsi="Arial"/>
                <w:sz w:val="18"/>
                <w:szCs w:val="18"/>
                <w:color w:val="auto"/>
              </w:rPr>
              <w:t>313</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5240" w:space="720"/>
            <w:col w:w="5460"/>
          </w:cols>
          <w:pgMar w:left="240" w:top="6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November 30, 2016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209550</wp:posOffset>
            </wp:positionV>
            <wp:extent cx="16465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3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line="201" w:lineRule="exact"/>
              <w:rPr>
                <w:sz w:val="20"/>
                <w:szCs w:val="20"/>
                <w:color w:val="auto"/>
              </w:rPr>
            </w:pPr>
            <w:r>
              <w:rPr>
                <w:rFonts w:ascii="Arial" w:cs="Arial" w:eastAsia="Arial" w:hAnsi="Arial"/>
                <w:sz w:val="18"/>
                <w:szCs w:val="18"/>
                <w:color w:val="auto"/>
              </w:rPr>
              <w:t>575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5240" w:space="720"/>
            <w:col w:w="5460"/>
          </w:cols>
          <w:pgMar w:left="240" w:top="665" w:right="239" w:bottom="1440" w:gutter="0" w:footer="0" w:header="0"/>
          <w:type w:val="continuous"/>
        </w:sectPr>
      </w:pPr>
    </w:p>
    <w:p>
      <w:pPr>
        <w:spacing w:after="0" w:line="25" w:lineRule="exact"/>
        <w:rPr>
          <w:sz w:val="20"/>
          <w:szCs w:val="20"/>
          <w:color w:val="auto"/>
        </w:rPr>
      </w:pPr>
    </w:p>
    <w:p>
      <w:pPr>
        <w:jc w:val="both"/>
        <w:ind w:left="1020"/>
        <w:spacing w:after="0" w:line="255" w:lineRule="auto"/>
        <w:rPr>
          <w:sz w:val="20"/>
          <w:szCs w:val="20"/>
          <w:color w:val="auto"/>
        </w:rPr>
      </w:pPr>
      <w:r>
        <w:rPr>
          <w:rFonts w:ascii="Arial" w:cs="Arial" w:eastAsia="Arial" w:hAnsi="Arial"/>
          <w:sz w:val="18"/>
          <w:szCs w:val="18"/>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in volatility would decrease the value of the warrants to $27; a 5.0% increase in volatility would increase the value of the warrants to $29. A 5.0% decrease or increase in the risk-free rate would not have materially changed the value of the warrants; the value of the warrants is not strongly correlated with small changes in interest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CONTIGENCIES</w:t>
      </w:r>
    </w:p>
    <w:p>
      <w:pPr>
        <w:spacing w:after="0" w:line="229"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2017 in the total amount of approximately $1,183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2016, the Company entered into an office lease agreement, with a term ending on February 28, 2018. According to the lease agreement, the monthly office lease payment is approximately $3.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2016, the Company entered into a cars lease agreement, which will end on December 31, 2019. According to the lease agreement, the monthly car lease payment is approximately $2.5.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2017, the Company entered into an office lease agreement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27, 2017, the Company entered into a Contract Research Agreement (the “Research Agreement”) with The Washington University (“Washington U.”), pursuant to which the parties will collaborate to determine the effectiveness of the Company’s self-cleaning shunt.</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The study in WU includes several phases. The first phase (initial research) was completed. The parties are in the final stage of planning the next phase, including the related various costs. </w:t>
      </w:r>
      <w:r>
        <w:rPr>
          <w:rFonts w:ascii="Arial" w:cs="Arial" w:eastAsia="Arial" w:hAnsi="Arial"/>
          <w:sz w:val="17"/>
          <w:szCs w:val="17"/>
          <w:color w:val="000000"/>
        </w:rPr>
        <w:t>Pursuant to the Research Agreement, all rights, title and interest in the data, information and results</w:t>
      </w:r>
      <w:r>
        <w:rPr>
          <w:rFonts w:ascii="Arial" w:cs="Arial" w:eastAsia="Arial" w:hAnsi="Arial"/>
          <w:sz w:val="17"/>
          <w:szCs w:val="17"/>
          <w:color w:val="222222"/>
        </w:rPr>
        <w:t xml:space="preserve"> </w:t>
      </w:r>
      <w:r>
        <w:rPr>
          <w:rFonts w:ascii="Arial" w:cs="Arial" w:eastAsia="Arial" w:hAnsi="Arial"/>
          <w:sz w:val="17"/>
          <w:szCs w:val="17"/>
          <w:color w:val="000000"/>
        </w:rPr>
        <w:t>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The parties presently are engaged in discovery.</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16 – Subsequent Events, below.</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9 - SHARE CAPITAL</w:t>
      </w:r>
    </w:p>
    <w:p>
      <w:pPr>
        <w:spacing w:after="0" w:line="229"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( 1,000 shares before the Reverse Split) of Common Stock, and confer upon the holder dividend rights on an as converted basis.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of 52 warrants ( 768 before the Reverse Split) and 24 shares ( 359 shares before the Reverse Split) of Common Stock were issued in connection therewith.</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December 31, 2017, the Company had 2,734,300 shares (40,583,127 shares before the Reverse Split) of Common Stock issued and outstanding, and 4,001 shares of Series A Convertible Preferred Stock issued and outstanding.</w:t>
      </w:r>
    </w:p>
    <w:p>
      <w:pPr>
        <w:spacing w:after="0" w:line="187"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November 28, 2016, the Company filed a Certificate of Amendment to its Restated Certificate of Incorporation, as amended, with the Secretary of State of the State of Delaware to (i) effect the Reverse Stock Split, (ii) change its name from “StemCells, Inc.” to “Microbot Medical Inc.” and (iii) increase the number of authorized shares of the Common Stock from 200,000,000 to 220,000,000 shares (the “Certificate of Amendment”).</w:t>
      </w:r>
    </w:p>
    <w:p>
      <w:pPr>
        <w:spacing w:after="0" w:line="187"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As a result of the Reverse Stock Split, the number of issued and outstanding shares of the Common Stock immediately prior to the Reverse Stock Split were reduced into a smaller number of shares, such that every nine shares of the Common Stock held by a stockholder immediately prior to the Reverse Stock Split were combined and reclassified into one share of the Common Stock.</w:t>
      </w:r>
    </w:p>
    <w:p>
      <w:pPr>
        <w:spacing w:after="0" w:line="181"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Immediately following the Reverse Stock Split and the Merger, there were 2,442,646 shares (36,254,240 shares before the Reverse Split) of the Common Stock issued and outstanding, which included certain rights to receive shares of Common Stock or equivalent securities but excludes shares underlying outstanding stock options and warrants and the Convertible Note.</w:t>
      </w:r>
    </w:p>
    <w:p>
      <w:pPr>
        <w:spacing w:after="0" w:line="181" w:lineRule="exact"/>
        <w:rPr>
          <w:sz w:val="20"/>
          <w:szCs w:val="20"/>
          <w:color w:val="auto"/>
        </w:rPr>
      </w:pPr>
    </w:p>
    <w:p>
      <w:pPr>
        <w:jc w:val="both"/>
        <w:ind w:left="1060"/>
        <w:spacing w:after="0" w:line="286" w:lineRule="auto"/>
        <w:rPr>
          <w:sz w:val="20"/>
          <w:szCs w:val="20"/>
          <w:color w:val="auto"/>
        </w:rPr>
      </w:pPr>
      <w:r>
        <w:rPr>
          <w:rFonts w:ascii="Arial" w:cs="Arial" w:eastAsia="Arial" w:hAnsi="Arial"/>
          <w:sz w:val="17"/>
          <w:szCs w:val="17"/>
          <w:color w:val="auto"/>
        </w:rPr>
        <w:t>On December 27, 2016, the Company exchanged 655,962 shares (9,735,925 shares before the Reverse Split) or rights to acquire shares of its Common Stock, for 9,736 shares of a newly designated class of Series A Convertible Preferred Stock. See “- Securities Exchange Agreement with Alpha Capital” below. See also Note 6 – Securities Exchange Agreement with Alpha Capital, above.</w:t>
      </w:r>
    </w:p>
    <w:p>
      <w:pPr>
        <w:spacing w:after="0" w:line="166"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per share before the Reverse Split). The gross proceeds to the Company was $10,125,000 before deducting placement agent fees and offering expenses of $922.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2014, Microbot Israel’s board of directors approved a grant of 26,906 (403,592 stock options before the Reverse Split) (77,846 stock options as retroactively adjusted to reflect the Merger and the Reverse Split) to its CEO, through MEDX Venture Group LLC. Each option was exercisable into an ordinary share, at an exercise price of $12 ($0.8 before the Reverse Split) ($4.2 as retroactively adjusted to reflect the Merger and the Reverse Split). The stock options were fully vested at the date of grant.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 2016, Microbot Israel’s board of directors approved a grant of 33,333 stock options (500,000 stock options before the Reverse Split) (96,482 as retroactively adjusted to reflect the Merger and the Reverse Split)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Ltd estimated the fair value of the options as equal to the Company’s share price of $20.25 ($1.35 before the Reverse Split) ($7.05 as retroactively adjusted to reflect the Merger and the Reverse Split) at the date of grant.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120,847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$156 included in general and administrative expenses for the period ended December 31, 2017.</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$92 included in general and administrative expenses for the period ended December 31, 2017.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(190,475 shares before the Reverse Split) of Common Stock to certain of its directors, at an exercise price per share of $15.75 ($1.05 before the Reverse Split). The stock options vest over a period of 3 years as outlined in the option agreements. As a result, the Company recognized compensation expenses in the amount of $4 included in general and administrative expenses for the period ended December 31, 2017.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(990,543 shares before the Reverse Split) of Common Stock to certain of its employees, at an exercise price per share of $15.3 ($1.02 before the Reverse Split). The stock options vest over a period of 3 years as outlined in the option agreements. As a result, the Company recognized compensation expenses in the amount of $95 included in general and administrative expenses for the period ended December 31,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(471,794 ordinary shares before the Reverse Split) at exercise price of 0.001 NIS.</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1300" w:top="661" w:right="239" w:bottom="1440" w:gutter="0" w:footer="0" w:header="0"/>
        </w:sectPr>
      </w:pPr>
    </w:p>
    <w:bookmarkStart w:id="53" w:name="page54"/>
    <w:bookmarkEnd w:id="53"/>
    <w:p>
      <w:pPr>
        <w:ind w:left="2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year 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December 31, 2017(**)</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c>
          <w:tcPr>
            <w:tcW w:w="1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272,090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142,875</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year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December 31, 2016(**)</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c>
          <w:tcPr>
            <w:tcW w:w="1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0" w:firstLine="1"/>
        <w:spacing w:after="0" w:line="261" w:lineRule="auto"/>
        <w:tabs>
          <w:tab w:leader="none" w:pos="3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8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2017 and December 31, 2016 respectively,</w:t>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4" w:name="page55"/>
    <w:bookmarkEnd w:id="54"/>
    <w:p>
      <w:pPr>
        <w:ind w:left="20"/>
        <w:spacing w:after="0"/>
        <w:rPr>
          <w:sz w:val="20"/>
          <w:szCs w:val="20"/>
          <w:color w:val="auto"/>
        </w:rPr>
      </w:pPr>
      <w:r>
        <w:rPr>
          <w:rFonts w:ascii="Arial" w:cs="Arial" w:eastAsia="Arial" w:hAnsi="Arial"/>
          <w:sz w:val="18"/>
          <w:szCs w:val="18"/>
          <w:color w:val="auto"/>
        </w:rPr>
        <w:t>The stock options outstanding as of December 31, 2017 and December 31, 2016, separated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Weighted average remaining</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Stock options outstanding</w:t>
            </w: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contractual life – years as of</w:t>
            </w: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Stock options exercisable as of</w:t>
            </w:r>
          </w:p>
        </w:tc>
      </w:tr>
      <w:tr>
        <w:trPr>
          <w:trHeight w:val="241"/>
        </w:trPr>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Exercise price</w:t>
            </w:r>
          </w:p>
        </w:tc>
        <w:tc>
          <w:tcPr>
            <w:tcW w:w="3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as of December 31, (**)</w:t>
            </w: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December 31, (**)</w:t>
            </w: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December 31, (**)</w:t>
            </w:r>
          </w:p>
        </w:tc>
      </w:tr>
      <w:tr>
        <w:trPr>
          <w:trHeight w:val="250"/>
        </w:trPr>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15.75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66,036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414,965</w:t>
            </w:r>
          </w:p>
        </w:tc>
        <w:tc>
          <w:tcPr>
            <w:tcW w:w="3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174,328</w:t>
            </w:r>
          </w:p>
        </w:tc>
        <w:tc>
          <w:tcPr>
            <w:tcW w:w="3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0" w:firstLine="1"/>
        <w:spacing w:after="0" w:line="261" w:lineRule="auto"/>
        <w:tabs>
          <w:tab w:leader="none" w:pos="3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year ended December 31, 2017 and 2016 was $ 254 and $ 675, respectively.</w:t>
      </w:r>
    </w:p>
    <w:p>
      <w:pPr>
        <w:spacing w:after="0" w:line="1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4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1"/>
                <w:szCs w:val="21"/>
                <w:color w:val="auto"/>
              </w:rPr>
            </w:pPr>
          </w:p>
        </w:tc>
      </w:tr>
      <w:tr>
        <w:trPr>
          <w:trHeight w:val="230"/>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122.5%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Risk-free interest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Expected life of up to (years)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During 2017 the Company issued an aggregate of 8, 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5" w:name="page56"/>
    <w:bookmarkEnd w:id="55"/>
    <w:p>
      <w:pPr>
        <w:jc w:val="both"/>
        <w:ind w:left="1060"/>
        <w:spacing w:after="0" w:line="273" w:lineRule="auto"/>
        <w:rPr>
          <w:sz w:val="20"/>
          <w:szCs w:val="20"/>
          <w:color w:val="auto"/>
        </w:rPr>
      </w:pPr>
      <w:r>
        <w:rPr>
          <w:rFonts w:ascii="Arial" w:cs="Arial" w:eastAsia="Arial" w:hAnsi="Arial"/>
          <w:sz w:val="17"/>
          <w:szCs w:val="17"/>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7"/>
          <w:szCs w:val="17"/>
          <w:b w:val="1"/>
          <w:bCs w:val="1"/>
          <w:color w:val="auto"/>
        </w:rPr>
        <w:t>.</w:t>
      </w:r>
    </w:p>
    <w:p>
      <w:pPr>
        <w:spacing w:after="0" w:line="178"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1060"/>
        <w:spacing w:after="0" w:line="255" w:lineRule="auto"/>
        <w:rPr>
          <w:sz w:val="20"/>
          <w:szCs w:val="20"/>
          <w:color w:val="auto"/>
        </w:rPr>
      </w:pPr>
      <w:r>
        <w:rPr>
          <w:rFonts w:ascii="Arial" w:cs="Arial" w:eastAsia="Arial" w:hAnsi="Arial"/>
          <w:sz w:val="18"/>
          <w:szCs w:val="18"/>
          <w:color w:val="auto"/>
        </w:rPr>
        <w:t>The Company intends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93" w:lineRule="exact"/>
        <w:rPr>
          <w:sz w:val="20"/>
          <w:szCs w:val="20"/>
          <w:color w:val="auto"/>
        </w:rPr>
      </w:pPr>
    </w:p>
    <w:p>
      <w:pPr>
        <w:jc w:val="both"/>
        <w:ind w:left="1060"/>
        <w:spacing w:after="0" w:line="293" w:lineRule="auto"/>
        <w:rPr>
          <w:sz w:val="20"/>
          <w:szCs w:val="20"/>
          <w:color w:val="auto"/>
        </w:rPr>
      </w:pPr>
      <w:r>
        <w:rPr>
          <w:rFonts w:ascii="Arial" w:cs="Arial" w:eastAsia="Arial" w:hAnsi="Arial"/>
          <w:sz w:val="16"/>
          <w:szCs w:val="16"/>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65"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NOTE10 </w:t>
      </w:r>
      <w:r>
        <w:rPr>
          <w:rFonts w:ascii="Arial" w:cs="Arial" w:eastAsia="Arial" w:hAnsi="Arial"/>
          <w:sz w:val="18"/>
          <w:szCs w:val="18"/>
          <w:color w:val="auto"/>
        </w:rPr>
        <w:t>-</w:t>
      </w:r>
      <w:r>
        <w:rPr>
          <w:rFonts w:ascii="Arial" w:cs="Arial" w:eastAsia="Arial" w:hAnsi="Arial"/>
          <w:sz w:val="18"/>
          <w:szCs w:val="18"/>
          <w:b w:val="1"/>
          <w:bCs w:val="1"/>
          <w:color w:val="auto"/>
        </w:rPr>
        <w:t xml:space="preserve"> BASIC AND DILUTED NET LOSS PER SHARE</w:t>
      </w:r>
    </w:p>
    <w:p>
      <w:pPr>
        <w:spacing w:after="0" w:line="229" w:lineRule="exact"/>
        <w:rPr>
          <w:sz w:val="20"/>
          <w:szCs w:val="20"/>
          <w:color w:val="auto"/>
        </w:rPr>
      </w:pPr>
    </w:p>
    <w:p>
      <w:pPr>
        <w:jc w:val="both"/>
        <w:ind w:left="1060" w:right="2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66"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Year</w:t>
      </w:r>
    </w:p>
    <w:p>
      <w:pPr>
        <w:spacing w:after="0" w:line="27"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Ended December 31,</w:t>
      </w:r>
    </w:p>
    <w:p>
      <w:pPr>
        <w:spacing w:after="0" w:line="9" w:lineRule="exact"/>
        <w:rPr>
          <w:sz w:val="20"/>
          <w:szCs w:val="20"/>
          <w:color w:val="auto"/>
        </w:rPr>
      </w:pPr>
    </w:p>
    <w:tbl>
      <w:tblPr>
        <w:tblLayout w:type="fixed"/>
        <w:tblInd w:w="1300" w:type="dxa"/>
        <w:tblCellMar>
          <w:top w:w="0" w:type="dxa"/>
          <w:left w:w="0" w:type="dxa"/>
          <w:bottom w:w="0" w:type="dxa"/>
          <w:right w:w="0" w:type="dxa"/>
        </w:tblCellMar>
      </w:tblPr>
      <w:tr>
        <w:trPr>
          <w:trHeight w:val="244"/>
        </w:trPr>
        <w:tc>
          <w:tcPr>
            <w:tcW w:w="50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the calculation of basic net loss per share</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9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2,201,992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963,047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137160</wp:posOffset>
            </wp:positionV>
            <wp:extent cx="160337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22" w:lineRule="exact"/>
        <w:rPr>
          <w:sz w:val="20"/>
          <w:szCs w:val="20"/>
          <w:color w:val="auto"/>
        </w:rPr>
      </w:pPr>
    </w:p>
    <w:p>
      <w:pPr>
        <w:ind w:left="1300" w:firstLine="5"/>
        <w:spacing w:after="0" w:line="277" w:lineRule="auto"/>
        <w:tabs>
          <w:tab w:leader="none" w:pos="15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December 31 2017 and 2016 shares data represents the number of shares adjusted to retroactively reflect the 1:15 Reverse Split effected on September 4,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both"/>
        <w:ind w:left="154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The weighted average number of common shares outstanding has been retroactively restated for the equivalent number of common shares received by the accounting acquirer as a result of the reverse recapitalization and reverse stock split as if these common shares had been outstanding as of the beginning of the earliest period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11 - RESEARCH AND DEVELOPMENT EXPENSES, NET</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060" w:type="dxa"/>
            <w:vAlign w:val="bottom"/>
            <w:gridSpan w:val="2"/>
            <w:shd w:val="clear" w:color="auto" w:fill="CCEEFF"/>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Patents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Rent</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Less: Grants received from IIA</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60" w:type="dxa"/>
            <w:vAlign w:val="bottom"/>
            <w:gridSpan w:val="2"/>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1"/>
                <w:szCs w:val="21"/>
                <w:color w:val="auto"/>
              </w:rPr>
            </w:pPr>
          </w:p>
        </w:tc>
        <w:tc>
          <w:tcPr>
            <w:tcW w:w="128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060" w:type="dxa"/>
            <w:vAlign w:val="bottom"/>
            <w:gridSpan w:val="2"/>
            <w:shd w:val="clear" w:color="auto" w:fill="CCEEFF"/>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Common shares issued for services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Marketing expenses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Public and Investor Relations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Insurance</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Governmental Fees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2453"/>
              <w:spacing w:after="0"/>
              <w:rPr>
                <w:sz w:val="20"/>
                <w:szCs w:val="20"/>
                <w:color w:val="auto"/>
              </w:rPr>
            </w:pPr>
            <w:r>
              <w:rPr>
                <w:rFonts w:ascii="Arial" w:cs="Arial" w:eastAsia="Arial" w:hAnsi="Arial"/>
                <w:sz w:val="18"/>
                <w:szCs w:val="18"/>
                <w:color w:val="auto"/>
              </w:rPr>
              <w:t>F-25</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NOTE 13 - FINANCE EXPENSES, NET</w:t>
            </w: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w w:val="98"/>
              </w:rPr>
              <w:t>(in thousands)</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Bank fees and interest</w:t>
            </w:r>
          </w:p>
        </w:tc>
        <w:tc>
          <w:tcPr>
            <w:tcW w:w="2460" w:type="dxa"/>
            <w:vAlign w:val="bottom"/>
            <w:gridSpan w:val="2"/>
            <w:shd w:val="clear" w:color="auto" w:fill="CCEEFF"/>
          </w:tcPr>
          <w:p>
            <w:pPr>
              <w:jc w:val="right"/>
              <w:ind w:right="99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5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Change in fair value of derivative warrant liability</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Financing loss on debt extinguishment</w:t>
            </w: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Revaluation and interest on convertible loans</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Borders>
              <w:bottom w:val="single" w:sz="8" w:color="auto"/>
            </w:tcBorders>
          </w:tcPr>
          <w:p>
            <w:pPr>
              <w:jc w:val="right"/>
              <w:ind w:right="99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5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TRANSACTIONS AND BALANCES WITH INTERESTED AND RELATED PARTIES</w:t>
      </w:r>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A.</w:t>
            </w:r>
          </w:p>
        </w:tc>
        <w:tc>
          <w:tcPr>
            <w:tcW w:w="3580" w:type="dxa"/>
            <w:vAlign w:val="bottom"/>
          </w:tcPr>
          <w:p>
            <w:pPr>
              <w:ind w:left="60"/>
              <w:spacing w:after="0"/>
              <w:rPr>
                <w:sz w:val="20"/>
                <w:szCs w:val="20"/>
                <w:color w:val="auto"/>
              </w:rPr>
            </w:pPr>
            <w:r>
              <w:rPr>
                <w:rFonts w:ascii="Arial" w:cs="Arial" w:eastAsia="Arial" w:hAnsi="Arial"/>
                <w:sz w:val="18"/>
                <w:szCs w:val="18"/>
                <w:b w:val="1"/>
                <w:bCs w:val="1"/>
                <w:color w:val="auto"/>
              </w:rPr>
              <w:t>Transactions: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7"/>
              </w:rPr>
              <w:t>(in thousands)</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Directors fees and insurance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Subcontracted work and consulting</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B.</w:t>
            </w:r>
          </w:p>
        </w:tc>
        <w:tc>
          <w:tcPr>
            <w:tcW w:w="35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Balances:</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35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88"/>
              </w:rPr>
              <w:t>As of</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 ON INCOME</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The Company is subject to Israeli corporate tax rate of 25% in the year 2016, 24% in 2017 and 23% from 2018. The Company is subject to a blended U.S. tax rate (Federal as well as state corporate tax) of 35%.</w:t>
      </w:r>
    </w:p>
    <w:p>
      <w:pPr>
        <w:spacing w:after="0" w:line="170" w:lineRule="exact"/>
        <w:rPr>
          <w:sz w:val="20"/>
          <w:szCs w:val="20"/>
          <w:color w:val="auto"/>
        </w:rPr>
      </w:pPr>
    </w:p>
    <w:p>
      <w:pPr>
        <w:jc w:val="both"/>
        <w:ind w:left="1060"/>
        <w:spacing w:after="0" w:line="279" w:lineRule="auto"/>
        <w:rPr>
          <w:sz w:val="20"/>
          <w:szCs w:val="20"/>
          <w:color w:val="auto"/>
        </w:rPr>
      </w:pPr>
      <w:r>
        <w:rPr>
          <w:rFonts w:ascii="Arial" w:cs="Arial" w:eastAsia="Arial" w:hAnsi="Arial"/>
          <w:sz w:val="17"/>
          <w:szCs w:val="17"/>
          <w:color w:val="auto"/>
        </w:rPr>
        <w:t>On December 22, 2017, the Tax Cuts and Jobs Act (the “Tax Act”) was signed into law in the United States. The Tax Act, among other provisions, introduces changes in the U.S corporate tax rate, business related exclusions and deductions and credits, and has internationally tax consequences for companies that operate international. Most of the changes introduced in the Tax Act are effective beginning on January 1, 2018. The Tax Act introduces a reduced federal tax rate of 21% from January 1, 2018 and onward.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ind w:left="1620" w:hanging="315"/>
        <w:spacing w:after="0" w:line="277" w:lineRule="auto"/>
        <w:tabs>
          <w:tab w:leader="none" w:pos="16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As of December 31, 2017, the Company generated net operating losses in Israel of approximately $5,267 which may be carried forward and offset against taxable income in the future for an indefinite period.</w:t>
      </w:r>
    </w:p>
    <w:p>
      <w:pPr>
        <w:spacing w:after="0" w:line="170" w:lineRule="exact"/>
        <w:rPr>
          <w:rFonts w:ascii="Arial" w:cs="Arial" w:eastAsia="Arial" w:hAnsi="Arial"/>
          <w:sz w:val="18"/>
          <w:szCs w:val="18"/>
          <w:b w:val="1"/>
          <w:bCs w:val="1"/>
          <w:color w:val="auto"/>
        </w:rPr>
      </w:pPr>
    </w:p>
    <w:p>
      <w:pPr>
        <w:jc w:val="both"/>
        <w:ind w:left="16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Company generated net operating losses in the U.S. of approximately $2,987.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6" w:lineRule="exact"/>
        <w:rPr>
          <w:rFonts w:ascii="Arial" w:cs="Arial" w:eastAsia="Arial" w:hAnsi="Arial"/>
          <w:sz w:val="18"/>
          <w:szCs w:val="18"/>
          <w:b w:val="1"/>
          <w:bCs w:val="1"/>
          <w:color w:val="auto"/>
        </w:rPr>
      </w:pPr>
    </w:p>
    <w:p>
      <w:pPr>
        <w:jc w:val="both"/>
        <w:ind w:left="1620" w:right="20" w:hanging="315"/>
        <w:spacing w:after="0" w:line="264" w:lineRule="auto"/>
        <w:tabs>
          <w:tab w:leader="none" w:pos="16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18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488,603</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Valuation allowance</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(117,265)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jc w:val="both"/>
        <w:ind w:left="90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w w:val="96"/>
              </w:rPr>
              <w:t>(in thousands)</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 in the statements of operations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Statutory tax rate</w:t>
            </w:r>
          </w:p>
        </w:tc>
        <w:tc>
          <w:tcPr>
            <w:tcW w:w="9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(1,821)</w:t>
            </w:r>
          </w:p>
        </w:tc>
        <w:tc>
          <w:tcPr>
            <w:tcW w:w="9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(2,416)</w:t>
            </w:r>
          </w:p>
        </w:tc>
      </w:tr>
      <w:tr>
        <w:trPr>
          <w:trHeight w:val="23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Actual income tax</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On January 4, 2018, Microbot Medical Ltd. entered into an agreement with CardioSert Ltd. to acquire certain patent-protected technology owned by CardioSert. With the closing of the acquisition expected in April 2018, CardioSert’s issued U.S. patent and three patent applications pending worldwide will be added to Microbot’s patent portfolio which will then have a patent portfolio of 25 issued/allowed patents and 15 patent applications pending worldwide.</w:t>
      </w:r>
    </w:p>
    <w:p>
      <w:pPr>
        <w:spacing w:after="0" w:line="187" w:lineRule="exact"/>
        <w:rPr>
          <w:sz w:val="20"/>
          <w:szCs w:val="20"/>
          <w:color w:val="auto"/>
        </w:rPr>
      </w:pPr>
    </w:p>
    <w:p>
      <w:pPr>
        <w:jc w:val="both"/>
        <w:ind w:left="900"/>
        <w:spacing w:after="0" w:line="286" w:lineRule="auto"/>
        <w:rPr>
          <w:sz w:val="20"/>
          <w:szCs w:val="20"/>
          <w:color w:val="auto"/>
        </w:rPr>
      </w:pPr>
      <w:r>
        <w:rPr>
          <w:rFonts w:ascii="Arial" w:cs="Arial" w:eastAsia="Arial" w:hAnsi="Arial"/>
          <w:sz w:val="17"/>
          <w:szCs w:val="17"/>
          <w:color w:val="auto"/>
        </w:rPr>
        <w:t>Pursuant to the Agreement, Microbot Medical Ltd made an initial payment of $50 to CardioSert and has 90-days to complete the acquisition. At the end of the 90-day period, at Microbot’s sole option, CardioSert shall assign and transfer the Technology to Microbot Medical Ltd and Microbot Medical Ltd shall pay to CardioSert additional amounts and options as determined in the agreements.</w:t>
      </w:r>
    </w:p>
    <w:p>
      <w:pPr>
        <w:spacing w:after="0" w:line="166" w:lineRule="exact"/>
        <w:rPr>
          <w:sz w:val="20"/>
          <w:szCs w:val="20"/>
          <w:color w:val="auto"/>
        </w:rPr>
      </w:pPr>
    </w:p>
    <w:p>
      <w:pPr>
        <w:jc w:val="both"/>
        <w:ind w:left="900"/>
        <w:spacing w:after="0" w:line="273" w:lineRule="auto"/>
        <w:rPr>
          <w:sz w:val="20"/>
          <w:szCs w:val="20"/>
          <w:color w:val="auto"/>
        </w:rPr>
      </w:pPr>
      <w:r>
        <w:rPr>
          <w:rFonts w:ascii="Arial" w:cs="Arial" w:eastAsia="Arial" w:hAnsi="Arial"/>
          <w:sz w:val="17"/>
          <w:szCs w:val="17"/>
          <w:color w:val="auto"/>
        </w:rPr>
        <w:t>The Agreement may be terminated by Microbot at any time during the 90-day pre-closing period, and otherwise for convenience upon 90-days’ notice. The Agreement may be terminated by CardioSert in case the first commercial sale does not occur by the third anniversary of the date of signing of the Agreement except in the event that Microbot has invested more than $2,000 in certain development stages, or the first commercial sale does not occur within 50 months. In each of the above termination events, or in case of breach by Microbot, CardioSert shall have the right to buy back the Technology from Microbot for $1.00, upon 60 days prior written notice, but only 1 year after such termination. Additionally, the Agreement may be terminated by either party upon breach of the other (subject to cure).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CardioSert agreed to assist Microbot in the development of the Technology for a minimum of one year, for a monthly consultation fee of NIS40,000 covering up to 60 consulting hours per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2018, through March 30, 2018, the Company issued an aggregate of 101,063 shares (1,500,000 shares before the Reverse Split) of its Common Stock upon the conversion of an aggregate of 1,500 shares of its Series A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9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1140" w:top="66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center"/>
              <w:ind w:right="505"/>
              <w:spacing w:after="0"/>
              <w:rPr>
                <w:sz w:val="20"/>
                <w:szCs w:val="20"/>
                <w:color w:val="auto"/>
              </w:rPr>
            </w:pPr>
            <w:r>
              <w:rPr>
                <w:rFonts w:ascii="Arial" w:cs="Arial" w:eastAsia="Arial" w:hAnsi="Arial"/>
                <w:sz w:val="18"/>
                <w:szCs w:val="18"/>
                <w:b w:val="1"/>
                <w:bCs w:val="1"/>
                <w:color w:val="auto"/>
                <w:w w:val="89"/>
              </w:rPr>
              <w:t>Note</w:t>
            </w:r>
          </w:p>
        </w:tc>
        <w:tc>
          <w:tcPr>
            <w:tcW w:w="2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September 30, 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6,673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10,787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Fixed assets, net</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warrant liability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of $0.01 par value; issued and outstanding: 721,107</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September 30, 2018 and December 31, 2017</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tcPr>
          <w:p>
            <w:pPr>
              <w:spacing w:after="0" w:line="201" w:lineRule="exact"/>
              <w:rPr>
                <w:sz w:val="20"/>
                <w:szCs w:val="20"/>
                <w:color w:val="auto"/>
              </w:rPr>
            </w:pPr>
            <w:r>
              <w:rPr>
                <w:rFonts w:ascii="Arial" w:cs="Arial" w:eastAsia="Arial" w:hAnsi="Arial"/>
                <w:sz w:val="18"/>
                <w:szCs w:val="18"/>
                <w:color w:val="auto"/>
                <w:w w:val="94"/>
              </w:rPr>
              <w:t>Preferred stock of $0.01 par value; Authorized: 1,000,000 shares as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of September 30, 2018 and December 31, 2017; issued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w w:val="98"/>
              </w:rPr>
              <w:t>outstanding: 550 and 4,001 shares as of September 30, 2018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December 31, 2017, respectively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of $0.01 par value; Authorized: 220,000,000 as of</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and December 31, 2017; issued and</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outstanding (**): 2,254,569 and 2,013,193 shares as of September</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2018, and December 31, 2017, respectively</w:t>
            </w: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31,771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30,561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(25,735)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6,066</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7,128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11,020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66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December 31, 2017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basic and diluted (*)</w:t>
            </w: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2,947,633</w:t>
            </w: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2,383,327</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2,876,020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September 30, 2017 share data represents the number of shares adjusted to retroactively reflect the 1:15 reverse stock split effected on September 4,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color w:val="auto"/>
              </w:rPr>
              <w:t>Preferred A Shares</w:t>
            </w:r>
          </w:p>
        </w:tc>
        <w:tc>
          <w:tcPr>
            <w:tcW w:w="2000" w:type="dxa"/>
            <w:vAlign w:val="bottom"/>
            <w:gridSpan w:val="6"/>
          </w:tcPr>
          <w:p>
            <w:pPr>
              <w:jc w:val="right"/>
              <w:ind w:right="46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Number</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9"/>
              </w:rPr>
              <w:t>Amount</w:t>
            </w:r>
          </w:p>
        </w:tc>
        <w:tc>
          <w:tcPr>
            <w:tcW w:w="22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Number</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9,736</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**1,788,884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14,713</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(13,035)</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299,815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12,702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Extinguishment of convertible notes and issuance of</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preferred A shares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(7,589)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Balances, December 31, 2017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color w:val="auto"/>
              </w:rPr>
              <w:t>2,734,300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30,561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(20,624)</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9,964</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1,139</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as consideration-vendor</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232,151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(5,111)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Balances, September 30, 2018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550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5"/>
                <w:szCs w:val="25"/>
                <w:color w:val="auto"/>
                <w:vertAlign w:val="superscript"/>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color w:val="auto"/>
              </w:rPr>
              <w:t>2,975,676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30</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31,771</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216" w:lineRule="exact"/>
              <w:rPr>
                <w:sz w:val="20"/>
                <w:szCs w:val="20"/>
                <w:color w:val="auto"/>
              </w:rPr>
            </w:pPr>
            <w:r>
              <w:rPr>
                <w:rFonts w:ascii="Arial" w:cs="Arial" w:eastAsia="Arial" w:hAnsi="Arial"/>
                <w:sz w:val="13"/>
                <w:szCs w:val="13"/>
                <w:color w:val="auto"/>
              </w:rPr>
              <w:t>(25,735</w:t>
            </w:r>
            <w:r>
              <w:rPr>
                <w:rFonts w:ascii="Arial" w:cs="Arial" w:eastAsia="Arial" w:hAnsi="Arial"/>
                <w:sz w:val="25"/>
                <w:szCs w:val="25"/>
                <w:color w:val="auto"/>
                <w:vertAlign w:val="superscript"/>
              </w:rPr>
              <w:t>)</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6,066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721,107 common stock classified as temporary equity.</w:t>
      </w:r>
    </w:p>
    <w:p>
      <w:pPr>
        <w:spacing w:after="0" w:line="9" w:lineRule="exact"/>
        <w:rPr>
          <w:sz w:val="20"/>
          <w:szCs w:val="20"/>
          <w:color w:val="auto"/>
        </w:rPr>
      </w:pPr>
    </w:p>
    <w:p>
      <w:pPr>
        <w:ind w:left="660" w:hanging="652"/>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3"/>
              </w:rPr>
              <w:t>Nine months ended 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ind w:left="80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(5,111)</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Interest and revaluation of convertible notes, net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Financing loss on debt extinguishment</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Shares issued as consideration-vendor</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Changes in assets and liabilities: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8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gridSpan w:val="6"/>
          </w:tcPr>
          <w:p>
            <w:pPr>
              <w:ind w:left="60"/>
              <w:spacing w:after="0"/>
              <w:rPr>
                <w:sz w:val="20"/>
                <w:szCs w:val="20"/>
                <w:color w:val="auto"/>
              </w:rPr>
            </w:pPr>
            <w:r>
              <w:rPr>
                <w:rFonts w:ascii="Arial" w:cs="Arial" w:eastAsia="Arial" w:hAnsi="Arial"/>
                <w:sz w:val="18"/>
                <w:szCs w:val="18"/>
                <w:color w:val="auto"/>
              </w:rPr>
              <w:t>Other payables and accrued liabilities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gridSpan w:val="7"/>
          </w:tcPr>
          <w:p>
            <w:pPr>
              <w:spacing w:after="0" w:line="201" w:lineRule="exact"/>
              <w:rPr>
                <w:sz w:val="20"/>
                <w:szCs w:val="20"/>
                <w:color w:val="auto"/>
              </w:rPr>
            </w:pPr>
            <w:r>
              <w:rPr>
                <w:rFonts w:ascii="Arial" w:cs="Arial" w:eastAsia="Arial" w:hAnsi="Arial"/>
                <w:sz w:val="18"/>
                <w:szCs w:val="18"/>
                <w:color w:val="auto"/>
                <w:w w:val="99"/>
              </w:rPr>
              <w:t>Outflow (inflow) in connection with current assets and liabilities acquired in reverse</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8"/>
          </w:tcPr>
          <w:p>
            <w:pPr>
              <w:spacing w:after="0"/>
              <w:rPr>
                <w:sz w:val="20"/>
                <w:szCs w:val="20"/>
                <w:color w:val="auto"/>
              </w:rPr>
            </w:pPr>
            <w:r>
              <w:rPr>
                <w:rFonts w:ascii="Arial" w:cs="Arial" w:eastAsia="Arial" w:hAnsi="Arial"/>
                <w:sz w:val="18"/>
                <w:szCs w:val="18"/>
                <w:color w:val="auto"/>
              </w:rPr>
              <w:t>recapitalization, net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9"/>
              </w:rPr>
              <w:t>Cash and cash equivalents and restricted cash at the beginning of the period</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4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Supplemental disclosure of cash flow information:</w:t>
            </w:r>
          </w:p>
        </w:tc>
        <w:tc>
          <w:tcPr>
            <w:tcW w:w="27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Non-cash financing transactions: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Cashless exercise of warrants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rPr>
              <w:t>Conversion of preferred A shares into common shares</w:t>
            </w:r>
          </w:p>
        </w:tc>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gridSpan w:val="7"/>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tcBorders>
              <w:bottom w:val="single" w:sz="8" w:color="CCEEFF"/>
            </w:tcBorders>
            <w:gridSpan w:val="7"/>
            <w:shd w:val="clear" w:color="auto" w:fill="CCEEFF"/>
          </w:tcPr>
          <w:p>
            <w:pPr>
              <w:spacing w:after="0" w:line="190" w:lineRule="exact"/>
              <w:rPr>
                <w:sz w:val="20"/>
                <w:szCs w:val="20"/>
                <w:color w:val="auto"/>
              </w:rPr>
            </w:pPr>
            <w:r>
              <w:rPr>
                <w:rFonts w:ascii="Arial" w:cs="Arial" w:eastAsia="Arial" w:hAnsi="Arial"/>
                <w:sz w:val="18"/>
                <w:szCs w:val="18"/>
                <w:color w:val="auto"/>
              </w:rPr>
              <w:t>Extinguishment of convertible notes in exchange for preferred A shares</w:t>
            </w: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280" w:type="dxa"/>
            <w:vAlign w:val="bottom"/>
            <w:gridSpan w:val="6"/>
            <w:vMerge w:val="restart"/>
          </w:tcPr>
          <w:p>
            <w:pPr>
              <w:ind w:left="200"/>
              <w:spacing w:after="0"/>
              <w:rPr>
                <w:sz w:val="20"/>
                <w:szCs w:val="20"/>
                <w:color w:val="auto"/>
              </w:rPr>
            </w:pPr>
            <w:r>
              <w:rPr>
                <w:rFonts w:ascii="Arial" w:cs="Arial" w:eastAsia="Arial" w:hAnsi="Arial"/>
                <w:sz w:val="18"/>
                <w:szCs w:val="18"/>
                <w:color w:val="auto"/>
              </w:rPr>
              <w:t>Less than 1</w:t>
            </w:r>
          </w:p>
        </w:tc>
        <w:tc>
          <w:tcPr>
            <w:tcW w:w="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6280" w:type="dxa"/>
            <w:vAlign w:val="bottom"/>
            <w:gridSpan w:val="6"/>
            <w:vMerge w:val="continue"/>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To date, the Company has not generated revenues from its operations. As of September 30, 2018, the Company had cash and cash equivalent balance of approximately $6,673,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Reverse </w:t>
      </w:r>
      <w:r>
        <w:rPr>
          <w:rFonts w:ascii="Arial" w:cs="Arial" w:eastAsia="Arial" w:hAnsi="Arial"/>
          <w:sz w:val="18"/>
          <w:szCs w:val="18"/>
          <w:color w:val="auto"/>
        </w:rPr>
        <w:t>Stock Split</w:t>
      </w:r>
    </w:p>
    <w:p>
      <w:pPr>
        <w:spacing w:after="0" w:line="229" w:lineRule="exact"/>
        <w:rPr>
          <w:rFonts w:ascii="Arial" w:cs="Arial" w:eastAsia="Arial" w:hAnsi="Arial"/>
          <w:sz w:val="18"/>
          <w:szCs w:val="18"/>
          <w:b w:val="1"/>
          <w:bCs w:val="1"/>
          <w:color w:val="auto"/>
        </w:rPr>
      </w:pPr>
    </w:p>
    <w:p>
      <w:pPr>
        <w:jc w:val="both"/>
        <w:ind w:left="6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was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Operating results for the nine-month period ended September 30, 2018, are not necessarily indicative of the results that may be expected for the year ended December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adoption of this standard did not have a material impact on our interim consolidated statements of comprehensive loss since the Company has not yet generated revenues to date.</w:t>
      </w:r>
    </w:p>
    <w:p>
      <w:pPr>
        <w:spacing w:after="0" w:line="17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These amendments expand the scope of Topic 718, 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 - Equity-Based Payments to Non-Employees. The guidance is effective for the Company during the first quarter of 2019. The Company is assessing ASU 2018-07 and does not expect it to have a material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p>
      <w:pPr>
        <w:jc w:val="both"/>
        <w:ind w:left="660"/>
        <w:spacing w:after="0" w:line="257" w:lineRule="auto"/>
        <w:rPr>
          <w:sz w:val="20"/>
          <w:szCs w:val="20"/>
          <w:color w:val="auto"/>
        </w:rPr>
      </w:pPr>
      <w:r>
        <w:rPr>
          <w:rFonts w:ascii="Arial" w:cs="Arial" w:eastAsia="Arial" w:hAnsi="Arial"/>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July 2018, the FASB issued ASU No.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4) and will likely have an insignificant impact on the consolidated statements of comprehensive loss.</w:t>
      </w:r>
    </w:p>
    <w:p>
      <w:pPr>
        <w:spacing w:after="0" w:line="178"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4 which upon adoption of the new standard are expected to be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WARRANT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outstanding warrants and terms as of September 30, 2018 and December 31, 2017 after the split is as follows: (*)</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Exercisable as of</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Outstanding as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Exercisable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Issuance date</w:t>
            </w: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Pr>
          <w:p>
            <w:pPr>
              <w:spacing w:after="0"/>
              <w:rPr>
                <w:sz w:val="20"/>
                <w:szCs w:val="20"/>
                <w:color w:val="auto"/>
              </w:rPr>
            </w:pPr>
          </w:p>
        </w:tc>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3,895</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2,885</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2,725</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(2015)</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(2016) (a)</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2,770</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line="258"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December 31, 2017 warrants data represents the number of shares adjusted to retroactively reflect the 1:15 Reverse Split effected on September 4, 2018</w:t>
      </w:r>
    </w:p>
    <w:p>
      <w:pPr>
        <w:spacing w:after="0" w:line="1" w:lineRule="exact"/>
        <w:rPr>
          <w:sz w:val="20"/>
          <w:szCs w:val="20"/>
          <w:color w:val="auto"/>
        </w:rPr>
      </w:pPr>
    </w:p>
    <w:p>
      <w:pPr>
        <w:jc w:val="both"/>
        <w:ind w:left="980" w:hanging="324"/>
        <w:spacing w:after="0" w:line="252"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September 30, 2018 and December 31, 2017, was approximately $5 and $28,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jc w:val="both"/>
        <w:ind w:left="660"/>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3 measurement).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2017, an institutional holder executed a cashless exercise of 51 warrants and 24 shares of Common Stock were issued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Series A</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(2016)</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Borders>
              <w:bottom w:val="single" w:sz="8" w:color="CCEEFF"/>
            </w:tcBorders>
          </w:tcPr>
          <w:p>
            <w:pPr>
              <w:spacing w:after="0"/>
              <w:rPr>
                <w:sz w:val="20"/>
                <w:szCs w:val="20"/>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7"/>
        </w:trPr>
        <w:tc>
          <w:tcPr>
            <w:tcW w:w="3300" w:type="dxa"/>
            <w:vAlign w:val="bottom"/>
            <w:gridSpan w:val="2"/>
          </w:tcPr>
          <w:p>
            <w:pPr>
              <w:spacing w:after="0"/>
              <w:rPr>
                <w:sz w:val="20"/>
                <w:szCs w:val="20"/>
                <w:color w:val="auto"/>
              </w:rPr>
            </w:pPr>
            <w:r>
              <w:rPr>
                <w:rFonts w:ascii="Arial" w:cs="Arial" w:eastAsia="Arial" w:hAnsi="Arial"/>
                <w:sz w:val="18"/>
                <w:szCs w:val="18"/>
                <w:color w:val="auto"/>
              </w:rPr>
              <w:t>Changes in fair value</w:t>
            </w: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September 30, 2018</w:t>
            </w: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31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As of September 30, 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December 31, 2017</w:t>
            </w:r>
          </w:p>
        </w:tc>
      </w:tr>
      <w:tr>
        <w:trPr>
          <w:trHeight w:val="237"/>
        </w:trPr>
        <w:tc>
          <w:tcPr>
            <w:tcW w:w="4040" w:type="dxa"/>
            <w:vAlign w:val="bottom"/>
          </w:tcPr>
          <w:p>
            <w:pPr>
              <w:spacing w:after="0"/>
              <w:rPr>
                <w:sz w:val="20"/>
                <w:szCs w:val="20"/>
                <w:color w:val="auto"/>
              </w:rPr>
            </w:pPr>
          </w:p>
        </w:tc>
        <w:tc>
          <w:tcPr>
            <w:tcW w:w="17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Series A (2016)</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Series B (2016)</w:t>
            </w: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Series A (2016)</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Series B (2016)</w:t>
            </w:r>
          </w:p>
        </w:tc>
        <w:tc>
          <w:tcPr>
            <w:tcW w:w="100" w:type="dxa"/>
            <w:vAlign w:val="bottom"/>
          </w:tcPr>
          <w:p>
            <w:pPr>
              <w:spacing w:after="0"/>
              <w:rPr>
                <w:sz w:val="20"/>
                <w:szCs w:val="20"/>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13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7.52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such liabilities measured on a recurring basis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Derivative Warrant</w:t>
            </w:r>
          </w:p>
        </w:tc>
        <w:tc>
          <w:tcPr>
            <w:tcW w:w="392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Liabilities</w:t>
            </w:r>
          </w:p>
        </w:tc>
        <w:tc>
          <w:tcPr>
            <w:tcW w:w="392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5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39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Revaluation of warrants</w:t>
            </w:r>
          </w:p>
        </w:tc>
        <w:tc>
          <w:tcPr>
            <w:tcW w:w="15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(23)</w:t>
            </w:r>
          </w:p>
        </w:tc>
        <w:tc>
          <w:tcPr>
            <w:tcW w:w="392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September 30, 2018</w:t>
            </w:r>
          </w:p>
        </w:tc>
        <w:tc>
          <w:tcPr>
            <w:tcW w:w="1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39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F-36</w:t>
            </w:r>
          </w:p>
        </w:tc>
        <w:tc>
          <w:tcPr>
            <w:tcW w:w="15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8" w:name="page69"/>
    <w:bookmarkEnd w:id="68"/>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Revaluation of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209550</wp:posOffset>
            </wp:positionV>
            <wp:extent cx="17068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160" w:hanging="504"/>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jc w:val="center"/>
        <w:ind w:right="3992"/>
        <w:spacing w:after="0"/>
        <w:rPr>
          <w:sz w:val="20"/>
          <w:szCs w:val="20"/>
          <w:color w:val="auto"/>
        </w:rPr>
      </w:pPr>
      <w:r>
        <w:rPr>
          <w:rFonts w:ascii="Arial" w:cs="Arial" w:eastAsia="Arial" w:hAnsi="Arial"/>
          <w:sz w:val="17"/>
          <w:szCs w:val="17"/>
          <w:b w:val="1"/>
          <w:bCs w:val="1"/>
          <w:color w:val="auto"/>
        </w:rPr>
        <w:t>Derivative Warrant</w:t>
      </w:r>
    </w:p>
    <w:p>
      <w:pPr>
        <w:spacing w:after="0" w:line="39" w:lineRule="exact"/>
        <w:rPr>
          <w:sz w:val="20"/>
          <w:szCs w:val="20"/>
          <w:color w:val="auto"/>
        </w:rPr>
      </w:pPr>
    </w:p>
    <w:p>
      <w:pPr>
        <w:jc w:val="center"/>
        <w:ind w:right="3992"/>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5715</wp:posOffset>
            </wp:positionV>
            <wp:extent cx="434784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 w:lineRule="exact"/>
        <w:rPr>
          <w:sz w:val="20"/>
          <w:szCs w:val="20"/>
          <w:color w:val="auto"/>
        </w:rPr>
      </w:pPr>
    </w:p>
    <w:p>
      <w:pPr>
        <w:ind w:left="1068" w:hanging="1068"/>
        <w:spacing w:after="0"/>
        <w:tabs>
          <w:tab w:leader="none" w:pos="10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313</w:t>
      </w:r>
    </w:p>
    <w:p>
      <w:pPr>
        <w:spacing w:after="0" w:line="50" w:lineRule="exact"/>
        <w:rPr>
          <w:rFonts w:ascii="Arial" w:cs="Arial" w:eastAsia="Arial" w:hAnsi="Arial"/>
          <w:sz w:val="18"/>
          <w:szCs w:val="18"/>
          <w:color w:val="auto"/>
        </w:rPr>
      </w:pPr>
    </w:p>
    <w:p>
      <w:pPr>
        <w:ind w:left="948"/>
        <w:spacing w:after="0"/>
        <w:rPr>
          <w:rFonts w:ascii="Arial" w:cs="Arial" w:eastAsia="Arial" w:hAnsi="Arial"/>
          <w:sz w:val="18"/>
          <w:szCs w:val="18"/>
          <w:color w:val="auto"/>
        </w:rPr>
      </w:pPr>
      <w:r>
        <w:rPr>
          <w:rFonts w:ascii="Arial" w:cs="Arial" w:eastAsia="Arial" w:hAnsi="Arial"/>
          <w:sz w:val="18"/>
          <w:szCs w:val="18"/>
          <w:color w:val="auto"/>
        </w:rPr>
        <w:t>(285)</w:t>
      </w:r>
    </w:p>
    <w:p>
      <w:pPr>
        <w:spacing w:after="0" w:line="21"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-121920</wp:posOffset>
            </wp:positionV>
            <wp:extent cx="434784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836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1836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4852" w:space="720"/>
            <w:col w:w="5848"/>
          </w:cols>
          <w:pgMar w:left="240" w:top="661" w:right="239" w:bottom="1440" w:gutter="0" w:footer="0" w:header="0"/>
        </w:sectPr>
      </w:pPr>
    </w:p>
    <w:p>
      <w:pPr>
        <w:spacing w:after="0" w:line="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or ‘increase in volatility would not have materially changed the value of the warrants. A 5.0% decrease or increase in the risk-free rate would not have materially changed the value of the warrants; the value of the warrants is not strongly correlated with small changes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September 30, 2018 in the total amount of approximately $1,310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December 2016, the Company entered into car lease agreements, which will end on December 31, 2019. According to the lease agreement, the monthly car lease payment is approximately $2.5.</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January 2018, the Company entered into an office lease agreement in the U.S., with a term ending on December 31, 2021. According to the lease agreement, the monthly office lease payment is approximately $4.</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May 2017, the Company entered into an office lease agreement IN Israel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study in Washington U. includes several phases. The first phase (initial research) was completed. The parties are in the final stage of planning the next phase, including the related various costs.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On August 3, 2018, both Plaintiffs and the Company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the Company’s motion for summary judgment regarding Plaintiffs’ claim for monetary damages and denying the Company’s motion for summary judgment on Plaintiffs’ claim for rescission, finding that there were material questions of fact that would need to be resolved at trial. A trial date has not been set.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has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(100,000 common shares before the Reverse Split) common shares estimated of $74. (see note 5).</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with Simon Sharon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Effective as of April 1, 2018, the Company hired Simon Sharon to replace its former Vice President of R&amp;D. Pursuant to the terms thereof, among other things, Mr. Sharon is entitled to options to purchase 10,000 shares (150,000 shares before the Reverse Split) of the Company’s common stock, subject and pursuant to the Company’s 2017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of Common Stock (1,000 shares of Common Stock before the Reverse Split), and confer upon the holder dividend rights on an as converted basis.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52 warrants (768 warrants before the Reverse Split) and 24 shares (359 shares before the Reverse Split) of Common Stock were issued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March 31, 2018, the Company had 2,837,863 shares (42,120,127 shares before the Reverse Split) of Common Stock issued and outstanding, and 2,464 shares of Series A Convertible Preferred Stock issued and outstanding.</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per share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before the Reverse Split). The gross proceeds to the Company was $10,125 before deducting placement agent fees and offering expenses of $922.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 ($0.8 before the Reverse Split) ($4.2 as retroactively adjusted to reflect the Merger). The stock options were fully vested at the date of grant.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$460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$329 and $0 included in general and administrative expenses for the nine months ended September 30, 2018 and 2017 respectively.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in the amount of $55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in the amount of $273 and $0 included in general and administrative expenses and research and development expenses for the nine months ended September 30, 2018 and 2017 respectively.</w:t>
      </w:r>
    </w:p>
    <w:p>
      <w:pPr>
        <w:spacing w:after="0" w:line="18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72" w:name="page73"/>
    <w:bookmarkEnd w:id="72"/>
    <w:p>
      <w:pPr>
        <w:jc w:val="both"/>
        <w:ind w:left="660"/>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of common stock before the Reverse Split) at an exercise price of $0.001 per share</w:t>
      </w:r>
    </w:p>
    <w:p>
      <w:pPr>
        <w:spacing w:after="0" w:line="17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On August 13, 2018, the board of directors approved a grant of stock options to purchase an aggregate of up to 10,000 shares (150,000 shares before the Reverse Split) of Common Stock to Mr. Simon Sharon, the company’s CTO,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$22 and $0 included in general and administrative expenses for the nine months ended September 30, 2018 and 2017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9"/>
          </w:tcPr>
          <w:p>
            <w:pPr>
              <w:ind w:left="1320"/>
              <w:spacing w:after="0"/>
              <w:rPr>
                <w:sz w:val="20"/>
                <w:szCs w:val="20"/>
                <w:color w:val="auto"/>
              </w:rPr>
            </w:pPr>
            <w:r>
              <w:rPr>
                <w:rFonts w:ascii="Arial" w:cs="Arial" w:eastAsia="Arial" w:hAnsi="Arial"/>
                <w:sz w:val="18"/>
                <w:szCs w:val="18"/>
                <w:b w:val="1"/>
                <w:bCs w:val="1"/>
                <w:color w:val="auto"/>
              </w:rPr>
              <w:t>For the nine months ended September 30, 2018</w:t>
            </w: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470"/>
              <w:spacing w:after="0" w:line="198" w:lineRule="exact"/>
              <w:rPr>
                <w:sz w:val="20"/>
                <w:szCs w:val="20"/>
                <w:color w:val="auto"/>
              </w:rPr>
            </w:pPr>
            <w:r>
              <w:rPr>
                <w:rFonts w:ascii="Arial" w:cs="Arial" w:eastAsia="Arial" w:hAnsi="Arial"/>
                <w:sz w:val="18"/>
                <w:szCs w:val="18"/>
                <w:b w:val="1"/>
                <w:bCs w:val="1"/>
                <w:color w:val="auto"/>
              </w:rPr>
              <w:t>Number of</w:t>
            </w: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 options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 price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414,965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(2,487)</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422,478</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228,758</w:t>
            </w: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7.80</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Weighted average</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9"/>
              </w:rPr>
              <w:t>Number of stock options</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exercise price</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Aggregate intrinsic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272,090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142,875</w:t>
            </w:r>
          </w:p>
        </w:tc>
        <w:tc>
          <w:tcPr>
            <w:tcW w:w="340" w:type="dxa"/>
            <w:vAlign w:val="bottom"/>
            <w:tcBorders>
              <w:bottom w:val="single" w:sz="8" w:color="auto"/>
            </w:tcBorders>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1.95</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December 31, 2017 options data represents the number of shares adjusted to retroactively reflect the 1:15 Reverse Split effected on September 4, 2018.</w:t>
      </w:r>
    </w:p>
    <w:p>
      <w:pPr>
        <w:spacing w:after="0" w:line="24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September 30, 2018 and December 31, 2017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ind w:left="4"/>
        <w:spacing w:after="0"/>
        <w:rPr>
          <w:sz w:val="20"/>
          <w:szCs w:val="20"/>
          <w:color w:val="auto"/>
        </w:rPr>
      </w:pPr>
      <w:r>
        <w:rPr>
          <w:rFonts w:ascii="Arial" w:cs="Arial" w:eastAsia="Arial" w:hAnsi="Arial"/>
          <w:sz w:val="18"/>
          <w:szCs w:val="18"/>
          <w:color w:val="auto"/>
        </w:rPr>
        <w:t>The stock options outstanding as of September 30, 2018 and December 31, 2017, separated by exercise prices, are as follows: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remaining</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Stock options</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 options</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 life</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contractual life</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 options</w:t>
            </w:r>
          </w:p>
        </w:tc>
        <w:tc>
          <w:tcPr>
            <w:tcW w:w="0" w:type="dxa"/>
            <w:vAlign w:val="bottom"/>
          </w:tcPr>
          <w:p>
            <w:pPr>
              <w:spacing w:after="0"/>
              <w:rPr>
                <w:sz w:val="1"/>
                <w:szCs w:val="1"/>
                <w:color w:val="auto"/>
              </w:rPr>
            </w:pPr>
          </w:p>
        </w:tc>
      </w:tr>
      <w:tr>
        <w:trPr>
          <w:trHeight w:val="203"/>
        </w:trPr>
        <w:tc>
          <w:tcPr>
            <w:tcW w:w="1720" w:type="dxa"/>
            <w:vAlign w:val="bottom"/>
            <w:gridSpan w:val="2"/>
            <w:vMerge w:val="continue"/>
          </w:tcPr>
          <w:p>
            <w:pPr>
              <w:spacing w:after="0"/>
              <w:rPr>
                <w:sz w:val="17"/>
                <w:szCs w:val="17"/>
                <w:color w:val="auto"/>
              </w:rPr>
            </w:pPr>
          </w:p>
        </w:tc>
        <w:tc>
          <w:tcPr>
            <w:tcW w:w="15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87"/>
              </w:rPr>
              <w:t>outstanding as</w:t>
            </w:r>
          </w:p>
        </w:tc>
        <w:tc>
          <w:tcPr>
            <w:tcW w:w="16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85"/>
              </w:rPr>
              <w:t>outstanding as</w:t>
            </w: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7"/>
              </w:rPr>
              <w:t>– years as of</w:t>
            </w:r>
          </w:p>
        </w:tc>
        <w:tc>
          <w:tcPr>
            <w:tcW w:w="15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6"/>
              </w:rPr>
              <w:t>– years as of</w:t>
            </w:r>
          </w:p>
        </w:tc>
        <w:tc>
          <w:tcPr>
            <w:tcW w:w="14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exercisable as</w:t>
            </w: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6"/>
              </w:rPr>
              <w:t>exercisable as</w:t>
            </w:r>
          </w:p>
        </w:tc>
        <w:tc>
          <w:tcPr>
            <w:tcW w:w="0" w:type="dxa"/>
            <w:vAlign w:val="bottom"/>
          </w:tcPr>
          <w:p>
            <w:pPr>
              <w:spacing w:after="0"/>
              <w:rPr>
                <w:sz w:val="1"/>
                <w:szCs w:val="1"/>
                <w:color w:val="auto"/>
              </w:rPr>
            </w:pPr>
          </w:p>
        </w:tc>
      </w:tr>
      <w:tr>
        <w:trPr>
          <w:trHeight w:val="216"/>
        </w:trPr>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of September</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December 31,</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of September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December</w:t>
            </w:r>
          </w:p>
        </w:tc>
        <w:tc>
          <w:tcPr>
            <w:tcW w:w="0" w:type="dxa"/>
            <w:vAlign w:val="bottom"/>
          </w:tcPr>
          <w:p>
            <w:pPr>
              <w:spacing w:after="0"/>
              <w:rPr>
                <w:sz w:val="1"/>
                <w:szCs w:val="1"/>
                <w:color w:val="auto"/>
              </w:rPr>
            </w:pPr>
          </w:p>
        </w:tc>
      </w:tr>
      <w:tr>
        <w:trPr>
          <w:trHeight w:val="255"/>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30, 2018</w:t>
            </w:r>
          </w:p>
        </w:tc>
        <w:tc>
          <w:tcPr>
            <w:tcW w:w="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3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30, 2018</w:t>
            </w:r>
          </w:p>
        </w:tc>
        <w:tc>
          <w:tcPr>
            <w:tcW w:w="3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 2017(**)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46,117</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19.35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72,508</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23,565</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15.30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66,036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18,688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62,542</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8.75</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62,542</w:t>
            </w: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422,478</w:t>
            </w: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414,965</w:t>
            </w: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8.55</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228,758</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142,875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 Less than $0.01.</w:t>
      </w:r>
    </w:p>
    <w:p>
      <w:pPr>
        <w:spacing w:after="0" w:line="23" w:lineRule="exact"/>
        <w:rPr>
          <w:sz w:val="20"/>
          <w:szCs w:val="20"/>
          <w:color w:val="auto"/>
        </w:rPr>
      </w:pPr>
    </w:p>
    <w:p>
      <w:pPr>
        <w:ind w:left="324" w:right="20" w:hanging="324"/>
        <w:spacing w:after="0" w:line="261" w:lineRule="auto"/>
        <w:tabs>
          <w:tab w:leader="none" w:pos="3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December 31, 2017 options data represents the number of shares adjusted to retroactively reflect the 1:15 Reverse Split effected on September 4, 2018.</w:t>
      </w:r>
    </w:p>
    <w:p>
      <w:pPr>
        <w:spacing w:after="0" w:line="18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nine-month ended September 30, 2018 and 2017 was $ 1,139 and $196, respectively.</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Nine months ended</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 ended</w:t>
            </w:r>
          </w:p>
        </w:tc>
      </w:tr>
      <w:tr>
        <w:trPr>
          <w:trHeight w:val="241"/>
        </w:trPr>
        <w:tc>
          <w:tcPr>
            <w:tcW w:w="5560" w:type="dxa"/>
            <w:vAlign w:val="bottom"/>
          </w:tcPr>
          <w:p>
            <w:pPr>
              <w:spacing w:after="0"/>
              <w:rPr>
                <w:sz w:val="20"/>
                <w:szCs w:val="20"/>
                <w:color w:val="auto"/>
              </w:rPr>
            </w:pPr>
          </w:p>
        </w:tc>
        <w:tc>
          <w:tcPr>
            <w:tcW w:w="246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2018</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99.4%</w:t>
            </w:r>
          </w:p>
        </w:tc>
        <w:tc>
          <w:tcPr>
            <w:tcW w:w="3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Risk-free interest</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During 2017, the Company issued an aggregate of 8,085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8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8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8"/>
          <w:szCs w:val="18"/>
          <w:b w:val="1"/>
          <w:bCs w:val="1"/>
          <w:color w:val="auto"/>
        </w:rPr>
        <w:t>.</w:t>
      </w:r>
    </w:p>
    <w:p>
      <w:pPr>
        <w:spacing w:after="0" w:line="193"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For the nine-month ended September 30, 2018, the holder of the Series A Convertible Preferred Stock converted 3,451 shares of the Series A Convertible Preferred Stock for 232,151 shares (3,445,266 shares before the Reverse Split) of Common Stock, pursuant to the terms of conversion of the Series A Convertible Preferred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intends to enter into a definitive agreement with up to three Israeli shareholders, one of which is a director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5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BASIC AND DILUTED NET LOSS PER SHARE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(5,111)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4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(1,442)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Net loss used in the calculation of basic net loss per share</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(4,885)</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4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gridSpan w:val="2"/>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2,876,020</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2,061,331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September 30, 2017 shares data represents the number of shares adjusted to retroactively reflect the 1:15 Reverse Split effected on September 4, 2018.</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2730500</wp:posOffset>
            </wp:positionH>
            <wp:positionV relativeFrom="page">
              <wp:posOffset>431800</wp:posOffset>
            </wp:positionV>
            <wp:extent cx="2315210" cy="875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231521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5,865,102 Shares of Common Stock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5,865,102 Pre-Funded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169545</wp:posOffset>
            </wp:positionV>
            <wp:extent cx="14490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154940</wp:posOffset>
            </wp:positionV>
            <wp:extent cx="14490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Sole Book-Running Manager</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H.C. Wainwright &amp; Co.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Microbot Medical Inc. (the “Company” or the “Registrant”) in connection with the sale of the securities being registered under this registration statement. All amounts shown are estimates except for the Securities and Exchange Commission, or SEC, registration fee and the FINRA filing fee.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FINRA filing fee</w:t>
            </w:r>
          </w:p>
        </w:tc>
        <w:tc>
          <w:tcPr>
            <w:tcW w:w="2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4,166.00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expenses</w:t>
            </w:r>
          </w:p>
        </w:tc>
        <w:tc>
          <w:tcPr>
            <w:tcW w:w="2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87,872.17</w:t>
            </w:r>
          </w:p>
        </w:tc>
        <w:tc>
          <w:tcPr>
            <w:tcW w:w="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Set forth below is information regarding securities issued and options granted by the Company within the past three years that were not registered under the Securities Act of 1933, as amended, and the rules promulgated thereunder (the “Securities Act”). Also included is the consideration, if any, received by the Registrant, for such securities and options and information relating to the Securities Act, or rule of the SEC, under which exemption from registration was claimed. Except with respect to issuances subsequent to September 4, 2018, the below issuances do not reflect the Company’s September 4, 2018 1-for-15 reverse stock split.</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September 24, 2018, the holder of the Series A Convertible Preferred Stock, par value $0.01 per share (the “Preferred Stock”), of the Company, converted 450 shares of the Preferred Stock for 30,000 shares of the Company’s common stock. Pursuant to the terms of conversion of the Preferred Stock, each such share is convertible, upon request and for no additional consideration, into 67 shares of the common stock of the Company. The issuances of the 30,000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31, 2018, the holder of the Preferred Stock converted 700 shares of the Preferred Stock for 700,000 shares of the Company’s common stock. Pursuant to the terms of conversion of the Preferred Stock, each such share is convertible, upon request and for no additional consideration, into 1,000 shares of the common stock of the Company. The issuances of the 700,000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5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24, 2018, the Company issued 100,000 shares of common stock to CardioSert Ltd. as partial consideration for the acquisition of certain intellectual property assets from CardioSert. The issuance was exempt from registration under Section 4(a)(2) under the Securities Act as a transaction not involving a public offering to a single stockholder as part of a negotiated transaction.</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7, 2018, the holder of the Preferred Stock converted an aggregate of 500 shares of the Preferred Stock for an aggregate of 500,000 shares of the Company’s common stock. Pursuant to the terms of conversion of the Preferred Stock, each such share is convertible, upon request and for no additional consideration, into 1,000 shares of the common stock of the Registrant. The issuances of the 500,000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11, 2018, the holder of the Preferred Stock converted 800 shares of the Preferred Stock for 800,000 shares of the Company’s common stock, pursuant to the terms of conversion of the Preferred Stock. The issuance of the 800,000 shares of common stock was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November 22, 2017 through January 25, 2018, the holder of the Preferred Stock converted an aggregate of 2,436 shares of the Preferred Stock for an aggregate of 2,436,000 shares of the Registrant’s common stock. Pursuant to the terms of conversion of the Preferred Stock, each such share is convertible, upon request and for no additional consideration, into 1,000 shares of the common stock of the Registrant. The issuances of the 2,436,000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11, 2017, the Registrant issued an aggregate of 70,000 shares of the Registrant’s common stock to a consultant as consideration for services.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jc w:val="both"/>
        <w:ind w:firstLine="324"/>
        <w:spacing w:after="0" w:line="273" w:lineRule="auto"/>
        <w:rPr>
          <w:sz w:val="20"/>
          <w:szCs w:val="20"/>
          <w:color w:val="auto"/>
        </w:rPr>
      </w:pPr>
      <w:r>
        <w:rPr>
          <w:rFonts w:ascii="Arial" w:cs="Arial" w:eastAsia="Arial" w:hAnsi="Arial"/>
          <w:sz w:val="17"/>
          <w:szCs w:val="17"/>
          <w:color w:val="auto"/>
        </w:rPr>
        <w:t>From October 4, 2017 through October 25, 2017, the holder of the Preferred Stock converted an aggregate of 1,600 shares of the Preferred Stock for an aggregate of 1,600,000 shares of the Company’s common stock. Pursuant to the terms of conversion of the Preferred Stock, each such share is convertible, upon request and for no additional consideration, into 1,000 shares of the common stock of the Registrant. The issuances of the 1,600,000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August 7, 2017 through September 19, 2017, the holder of the Preferred Stock converted an aggregate of 2,200 shares of the Preferred Stock for an aggregate of 2,200,000 shares of the Registrant’s common stock. Pursuant to the terms of conversion of the Preferred Stock, each such share is convertible, upon request and for no additional consideration, into 1,000 shares of the common stock of the Registrant. The issuances of the 2,200,000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June 19, 2017 and August 7, 2017, the holder of the Preferred Stock converted an aggregate of 2,029 shares of the Preferred Stock for an aggregate of 2,029,000 shares of the Company’s common stock. Pursuant to the terms of conversion of the Preferred Stock, each such share is convertible, upon request and for no additional consideration, into 1,000 shares of the common stock of the Company. The issuances of the 2,029,000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May 18, 2017 and June 12, 2017, the holder of the Preferred Stock converted an aggregate of 1,525 shares of the Preferred Stock for an aggregate of 1,525,000 shares of the Company’s common stock. Pursuant to the terms of conversion of the Preferred Stock, each such share is convertible, upon request and for no additional consideration, into 1,000 shares of the common stock of the Company. The issuances of the 1,525,000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26, 2017, the Company issued an aggregate of 50,000 shares of common stock to a consultant.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10, 2017, the Company entered into a Securities Exchange Agreement (the “Exchange Agreement”) with Alpha Capital Anstalt (“Alpha Capital”), pursuant to which the Company agreed to issue 3,255 shares of Series A Convertible Preferred Stock, par value $0.01 per share (the “Preferred Stock”), in exchange for the full satisfaction, termination and cancellation of that outstanding 6% convertible promissory note of the Company in the principal amount of $2,028,767, issued on November 28, 2016 and held by Alpha Capital (the “Convertible Note”). Effective as of May 10, 2017, the Company issued 3,255 shares of Preferred Stock to Alpha Capital pursuant to the Exchange Agreement. The issuance of the 3,255 shares of Preferred Stock was exempt from registration under Section 4(a)(2) and/or 3(a)(9) under the Securities Act.</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March 2017, an institutional holder exercised, in a cashless transaction, 768 warrants and 359 shares of common stock were issued in connection therewith. The issuance of the 359 share of common stock was exempt from registration under Section 4(a)(2) and/or 3(a)(9) under the Securities Act.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as of December 27, 2016, the Company closed on the exchange (the “Exchange”) of approximately 9,735,925 shares or rights to acquire shares of its common stock held by Alpha Capital Anstalt, for 9,736 shares of Preferred Stock. The issuance of the 9,736 shares of Preferred Stock was exempt from registration under Section 4(a)(2) and/or 3(a)(9) under the Securities Act.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issued 26,644,979 shares of common stock to the existing shareholders of Microbot Israel Ltd. (“Microbot Israel”) and assumed options to purchase an aggregate of 2,614,916 shares of common stock of the existing optionholders of Microbot Israel. Additionally, the Company issued an aggregate of 7,802,639 restricted shares of its common stock or rights to receive common stock to certain advisors. Such sales were exempt from registration under Section 4(a)(2) and Regulation D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Exhibit Index immediately preceding the signature page to this registration statement, which is incorporated by reference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jc w:val="both"/>
        <w:ind w:right="20" w:firstLine="363"/>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investor.</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section 15(d) of the Securities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0" w:gutter="0" w:footer="0" w:header="0"/>
        </w:sectPr>
      </w:pPr>
    </w:p>
    <w:bookmarkStart w:id="80" w:name="page81"/>
    <w:bookmarkEnd w:id="80"/>
    <w:p>
      <w:pPr>
        <w:spacing w:after="0" w:line="7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w:t>
      </w:r>
    </w:p>
    <w:p>
      <w:pPr>
        <w:spacing w:after="0" w:line="225"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18">
        <w:r>
          <w:rPr>
            <w:rFonts w:ascii="Arial" w:cs="Arial" w:eastAsia="Arial" w:hAnsi="Arial"/>
            <w:sz w:val="18"/>
            <w:szCs w:val="18"/>
            <w:u w:val="single" w:color="auto"/>
            <w:color w:val="0000EE"/>
          </w:rPr>
          <w:t>Agreement and Plan of Merger and Reorganization, dated as of August 15, 2016, by and among StemCells, Inc., C&amp;RD Israel Ltd. and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Microbot Medical Ltd. (incorporated by reference to the Company’s Current Report on Form 8-K filed on August 15,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19">
        <w:r>
          <w:rPr>
            <w:rFonts w:ascii="Arial" w:cs="Arial" w:eastAsia="Arial" w:hAnsi="Arial"/>
            <w:sz w:val="18"/>
            <w:szCs w:val="18"/>
            <w:u w:val="single" w:color="auto"/>
            <w:color w:val="0000EE"/>
          </w:rPr>
          <w:t>Restated Certificate of Incorporation of the Company (incorporated by reference to the Company’s Annual Report on Form 10-K for the fiscal</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year ended December 31, 2006 and filed on March 15, 2007).</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20">
        <w:r>
          <w:rPr>
            <w:rFonts w:ascii="Arial" w:cs="Arial" w:eastAsia="Arial" w:hAnsi="Arial"/>
            <w:sz w:val="18"/>
            <w:szCs w:val="18"/>
            <w:u w:val="single" w:color="auto"/>
            <w:color w:val="0000EE"/>
          </w:rPr>
          <w:t>Certificate of Amendment to the Restated Certificate of Incorporation of the Company (incorporated by reference to the Company’s Current</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Report on Form 8-K filed on November 29,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21">
        <w:r>
          <w:rPr>
            <w:rFonts w:ascii="Arial" w:cs="Arial" w:eastAsia="Arial" w:hAnsi="Arial"/>
            <w:sz w:val="18"/>
            <w:szCs w:val="18"/>
            <w:u w:val="single" w:color="auto"/>
            <w:color w:val="0000EE"/>
          </w:rPr>
          <w:t>Certificate of Amendment to the Restated Certificate of Incorporation (incorporated by reference to the Company’s Current Report on Form 8-</w:t>
        </w:r>
      </w:hyperlink>
      <w:hyperlink r:id="rId121">
        <w:r>
          <w:rPr>
            <w:rFonts w:ascii="Arial" w:cs="Arial" w:eastAsia="Arial" w:hAnsi="Arial"/>
            <w:sz w:val="18"/>
            <w:szCs w:val="18"/>
            <w:u w:val="single" w:color="auto"/>
            <w:color w:val="0000EE"/>
          </w:rPr>
          <w:t>K filed on September 4, 2018).</w:t>
        </w:r>
      </w:hyperlink>
    </w:p>
    <w:p>
      <w:pPr>
        <w:spacing w:after="0" w:line="170" w:lineRule="exact"/>
        <w:rPr>
          <w:sz w:val="20"/>
          <w:szCs w:val="20"/>
          <w:color w:val="auto"/>
        </w:rPr>
      </w:pPr>
    </w:p>
    <w:p>
      <w:pPr>
        <w:ind w:left="900" w:right="2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22">
        <w:r>
          <w:rPr>
            <w:rFonts w:ascii="Arial" w:cs="Arial" w:eastAsia="Arial" w:hAnsi="Arial"/>
            <w:sz w:val="18"/>
            <w:szCs w:val="18"/>
            <w:u w:val="single" w:color="auto"/>
            <w:color w:val="0000EE"/>
          </w:rPr>
          <w:t xml:space="preserve">Certificate of Designations of Preferences, Rights and Limitations of the Series A Convertible Preferred Stock </w:t>
        </w:r>
        <w:r>
          <w:rPr>
            <w:rFonts w:ascii="Arial" w:cs="Arial" w:eastAsia="Arial" w:hAnsi="Arial"/>
            <w:sz w:val="18"/>
            <w:szCs w:val="18"/>
            <w:u w:val="single" w:color="auto"/>
            <w:color w:val="0000EE"/>
            <w:highlight w:val="white"/>
          </w:rPr>
          <w:t>(incorporated by reference to the</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Registrant’s Current Report on Form 8-K filed on December 16, 2016).</w:t>
        </w:r>
      </w:hyperlink>
    </w:p>
    <w:p>
      <w:pPr>
        <w:spacing w:after="0" w:line="170" w:lineRule="exact"/>
        <w:rPr>
          <w:sz w:val="20"/>
          <w:szCs w:val="20"/>
          <w:color w:val="auto"/>
        </w:rPr>
      </w:pPr>
    </w:p>
    <w:p>
      <w:pPr>
        <w:ind w:left="900" w:right="2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123">
        <w:r>
          <w:rPr>
            <w:rFonts w:ascii="Arial" w:cs="Arial" w:eastAsia="Arial" w:hAnsi="Arial"/>
            <w:sz w:val="18"/>
            <w:szCs w:val="18"/>
            <w:u w:val="single" w:color="auto"/>
            <w:color w:val="0000EE"/>
          </w:rPr>
          <w:t>Certificate of Designation of Preferences, Rights and Limitations of the Series A Convertible Preferred Stock (ncorporated by reference to the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Registrant’s Current Report on Form 8-K filed on May 11, 2017).</w:t>
        </w:r>
      </w:hyperlink>
    </w:p>
    <w:p>
      <w:pPr>
        <w:spacing w:after="0" w:line="170" w:lineRule="exact"/>
        <w:rPr>
          <w:sz w:val="20"/>
          <w:szCs w:val="20"/>
          <w:color w:val="auto"/>
        </w:rPr>
      </w:pPr>
    </w:p>
    <w:p>
      <w:pPr>
        <w:ind w:left="900" w:right="20" w:hanging="715"/>
        <w:spacing w:after="0" w:line="277" w:lineRule="auto"/>
        <w:tabs>
          <w:tab w:leader="none" w:pos="371" w:val="left"/>
        </w:tabs>
        <w:numPr>
          <w:ilvl w:val="0"/>
          <w:numId w:val="65"/>
        </w:numPr>
        <w:rPr>
          <w:rFonts w:ascii="Arial" w:cs="Arial" w:eastAsia="Arial" w:hAnsi="Arial"/>
          <w:sz w:val="18"/>
          <w:szCs w:val="18"/>
          <w:u w:val="single" w:color="auto"/>
          <w:color w:val="0000EE"/>
        </w:rPr>
      </w:pPr>
      <w:r>
        <w:rPr>
          <w:rFonts w:ascii="Arial" w:cs="Arial" w:eastAsia="Arial" w:hAnsi="Arial"/>
          <w:sz w:val="18"/>
          <w:szCs w:val="18"/>
          <w:color w:val="auto"/>
        </w:rPr>
        <w:t>6</w:t>
      </w:r>
      <w:hyperlink r:id="rId124">
        <w:r>
          <w:rPr>
            <w:rFonts w:ascii="Arial" w:cs="Arial" w:eastAsia="Arial" w:hAnsi="Arial"/>
            <w:sz w:val="18"/>
            <w:szCs w:val="18"/>
            <w:u w:val="single" w:color="auto"/>
            <w:color w:val="0000EE"/>
          </w:rPr>
          <w:t>Amended and Restated By-Laws of the Company (incorporated by reference to the Company’s Current Report on Form 8-K filed on May 3,</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2016).</w:t>
        </w:r>
      </w:hyperlink>
    </w:p>
    <w:p>
      <w:pPr>
        <w:spacing w:after="0" w:line="170" w:lineRule="exact"/>
        <w:rPr>
          <w:rFonts w:ascii="Arial" w:cs="Arial" w:eastAsia="Arial" w:hAnsi="Arial"/>
          <w:sz w:val="18"/>
          <w:szCs w:val="18"/>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25">
        <w:r>
          <w:rPr>
            <w:rFonts w:ascii="Arial" w:cs="Arial" w:eastAsia="Arial" w:hAnsi="Arial"/>
            <w:sz w:val="16"/>
            <w:szCs w:val="16"/>
            <w:u w:val="single" w:color="auto"/>
            <w:color w:val="0000EE"/>
          </w:rPr>
          <w:t>Form of Series A Warrant (incorporated by reference to the Registrant’s Current Report on Form 8-K filed on December 16, 2016).</w:t>
        </w:r>
      </w:hyperlink>
    </w:p>
    <w:p>
      <w:pPr>
        <w:spacing w:after="0" w:line="225" w:lineRule="exact"/>
        <w:rPr>
          <w:rFonts w:ascii="Arial" w:cs="Arial" w:eastAsia="Arial" w:hAnsi="Arial"/>
          <w:sz w:val="18"/>
          <w:szCs w:val="18"/>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26">
        <w:r>
          <w:rPr>
            <w:rFonts w:ascii="Arial" w:cs="Arial" w:eastAsia="Arial" w:hAnsi="Arial"/>
            <w:sz w:val="16"/>
            <w:szCs w:val="16"/>
            <w:u w:val="single" w:color="auto"/>
            <w:color w:val="0000EE"/>
          </w:rPr>
          <w:t>Form of Series B Warrant (incorporated by reference to the Company’s Current Report on Form 8-K filed on December 16, 2016).</w:t>
        </w:r>
      </w:hyperlink>
    </w:p>
    <w:p>
      <w:pPr>
        <w:spacing w:after="0" w:line="225" w:lineRule="exact"/>
        <w:rPr>
          <w:rFonts w:ascii="Arial" w:cs="Arial" w:eastAsia="Arial" w:hAnsi="Arial"/>
          <w:sz w:val="18"/>
          <w:szCs w:val="18"/>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Pre-Funded Warrant .</w:t>
      </w:r>
    </w:p>
    <w:p>
      <w:pPr>
        <w:spacing w:after="0" w:line="225" w:lineRule="exact"/>
        <w:rPr>
          <w:rFonts w:ascii="Arial" w:cs="Arial" w:eastAsia="Arial" w:hAnsi="Arial"/>
          <w:sz w:val="18"/>
          <w:szCs w:val="18"/>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Underwriter’s Warrant .</w:t>
      </w:r>
    </w:p>
    <w:p>
      <w:pPr>
        <w:spacing w:after="0" w:line="225" w:lineRule="exact"/>
        <w:rPr>
          <w:rFonts w:ascii="Arial" w:cs="Arial" w:eastAsia="Arial" w:hAnsi="Arial"/>
          <w:sz w:val="18"/>
          <w:szCs w:val="18"/>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Mintz, Levin, Cohn, Ferris, Glovsky and Popeo P.C.</w:t>
      </w:r>
    </w:p>
    <w:p>
      <w:pPr>
        <w:spacing w:after="0" w:line="225" w:lineRule="exact"/>
        <w:rPr>
          <w:rFonts w:ascii="Arial" w:cs="Arial" w:eastAsia="Arial" w:hAnsi="Arial"/>
          <w:sz w:val="18"/>
          <w:szCs w:val="18"/>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27">
        <w:r>
          <w:rPr>
            <w:rFonts w:ascii="Arial" w:cs="Arial" w:eastAsia="Arial" w:hAnsi="Arial"/>
            <w:sz w:val="18"/>
            <w:szCs w:val="18"/>
            <w:u w:val="single" w:color="auto"/>
            <w:color w:val="0000EE"/>
          </w:rPr>
          <w:t>Letter Agreement between the Company and Alpha Capital Anstalt (incorporated by reference from the Current Report on Form 8-K filed with</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 Securities and Exchange Commission on December 23,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28">
        <w:r>
          <w:rPr>
            <w:rFonts w:ascii="Arial" w:cs="Arial" w:eastAsia="Arial" w:hAnsi="Arial"/>
            <w:sz w:val="18"/>
            <w:szCs w:val="18"/>
            <w:u w:val="single" w:color="auto"/>
            <w:color w:val="0000EE"/>
          </w:rPr>
          <w:t>Securities Exchange Agreement between the Company and Alpha Capital Anstalt (incorporated by reference to the Company’s Current Report</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on Form 8-K filed on 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29">
        <w:r>
          <w:rPr>
            <w:rFonts w:ascii="Arial" w:cs="Arial" w:eastAsia="Arial" w:hAnsi="Arial"/>
            <w:sz w:val="18"/>
            <w:szCs w:val="18"/>
            <w:u w:val="single" w:color="auto"/>
            <w:color w:val="0000EE"/>
          </w:rPr>
          <w:t>Convertible Promissory Note in favor of Alpha Capital Anstalt (incorporated by reference to the Company’s Current Report on Form 8-K filed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on 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30">
        <w:r>
          <w:rPr>
            <w:rFonts w:ascii="Arial" w:cs="Arial" w:eastAsia="Arial" w:hAnsi="Arial"/>
            <w:sz w:val="18"/>
            <w:szCs w:val="18"/>
            <w:u w:val="single" w:color="auto"/>
            <w:color w:val="0000EE"/>
          </w:rPr>
          <w:t>Form of Indemnification Agreement, between the Company and Each of its Directors and Officers (incorporated by reference to the Company’s</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Current Report on Form 8-K filed on November 29, 2016).</w:t>
        </w:r>
      </w:hyperlink>
    </w:p>
    <w:p>
      <w:pPr>
        <w:spacing w:after="0" w:line="170" w:lineRule="exact"/>
        <w:rPr>
          <w:sz w:val="20"/>
          <w:szCs w:val="20"/>
          <w:color w:val="auto"/>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31">
        <w:r>
          <w:rPr>
            <w:rFonts w:ascii="Arial" w:cs="Arial" w:eastAsia="Arial" w:hAnsi="Arial"/>
            <w:sz w:val="16"/>
            <w:szCs w:val="16"/>
            <w:u w:val="single" w:color="auto"/>
            <w:color w:val="0000EE"/>
          </w:rPr>
          <w:t>Employment Agreement with Harel Gadot (incorporated by reference to the Company’s Current Report on Form 8-K filed on November 29,</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2016).</w:t>
        </w:r>
      </w:hyperlink>
    </w:p>
    <w:p>
      <w:pPr>
        <w:spacing w:after="0" w:line="211"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32">
        <w:r>
          <w:rPr>
            <w:rFonts w:ascii="Arial" w:cs="Arial" w:eastAsia="Arial" w:hAnsi="Arial"/>
            <w:sz w:val="18"/>
            <w:szCs w:val="18"/>
            <w:u w:val="single" w:color="auto"/>
            <w:color w:val="0000EE"/>
          </w:rPr>
          <w:t>Services Agreement with DBN Finance Services Ltd. (incorporated by reference to the Company’s Current Report on Form 8-K filed on</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33">
        <w:r>
          <w:rPr>
            <w:rFonts w:ascii="Arial" w:cs="Arial" w:eastAsia="Arial" w:hAnsi="Arial"/>
            <w:sz w:val="18"/>
            <w:szCs w:val="18"/>
            <w:u w:val="single" w:color="auto"/>
            <w:color w:val="0000EE"/>
          </w:rPr>
          <w:t>Employment Agreement with Yehezkel Himelfarb (incorporated by reference to the Company’s Current Report on Form 8-K filed on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December 8,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4">
        <w:r>
          <w:rPr>
            <w:rFonts w:ascii="Arial" w:cs="Arial" w:eastAsia="Arial" w:hAnsi="Arial"/>
            <w:sz w:val="18"/>
            <w:szCs w:val="18"/>
            <w:u w:val="single" w:color="auto"/>
            <w:color w:val="0000EE"/>
          </w:rPr>
          <w:t>Securities Exchange Agreement, dated December 16, 2016, by and between StemCells, Inc. and Alpha Capital Anstalt (incorporated by</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reference to the Company’s Current Report on Form 8-K filed on December 16, 2016).</w:t>
        </w:r>
      </w:hyperlink>
    </w:p>
    <w:p>
      <w:pPr>
        <w:spacing w:after="0" w:line="170" w:lineRule="exact"/>
        <w:rPr>
          <w:sz w:val="20"/>
          <w:szCs w:val="20"/>
          <w:color w:val="auto"/>
        </w:rPr>
      </w:pPr>
    </w:p>
    <w:p>
      <w:pPr>
        <w:ind w:left="900" w:right="2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5">
        <w:r>
          <w:rPr>
            <w:rFonts w:ascii="Arial" w:cs="Arial" w:eastAsia="Arial" w:hAnsi="Arial"/>
            <w:sz w:val="18"/>
            <w:szCs w:val="18"/>
            <w:u w:val="single" w:color="auto"/>
            <w:color w:val="0000EE"/>
          </w:rPr>
          <w:t>Form of Securities Purchase Agreement, dated January 5, 2017 (incorporated by reference to the Company’s Current Report on Form 8-K filed</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on January 5, 2017).</w:t>
        </w:r>
      </w:hyperlink>
    </w:p>
    <w:p>
      <w:pPr>
        <w:spacing w:after="0" w:line="170"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36">
        <w:r>
          <w:rPr>
            <w:rFonts w:ascii="Arial" w:cs="Arial" w:eastAsia="Arial" w:hAnsi="Arial"/>
            <w:sz w:val="16"/>
            <w:szCs w:val="16"/>
            <w:u w:val="single" w:color="auto"/>
            <w:color w:val="0000EE"/>
          </w:rPr>
          <w:t>Placement Agreement, dated January 4, 2017 (incorporated by reference to the Company’s Current Report on Form 8-K filed on January 5,</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2017).</w:t>
        </w:r>
      </w:hyperlink>
    </w:p>
    <w:p>
      <w:pPr>
        <w:spacing w:after="0" w:line="211" w:lineRule="exact"/>
        <w:rPr>
          <w:sz w:val="20"/>
          <w:szCs w:val="20"/>
          <w:color w:val="auto"/>
        </w:rPr>
      </w:pPr>
    </w:p>
    <w:p>
      <w:pPr>
        <w:jc w:val="both"/>
        <w:ind w:left="900" w:hanging="772"/>
        <w:spacing w:after="0" w:line="264"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7">
        <w:r>
          <w:rPr>
            <w:rFonts w:ascii="Arial" w:cs="Arial" w:eastAsia="Arial" w:hAnsi="Arial"/>
            <w:sz w:val="18"/>
            <w:szCs w:val="18"/>
            <w:u w:val="single" w:color="auto"/>
            <w:color w:val="0000EE"/>
          </w:rPr>
          <w:t>Asset Purchase Agreement, dated November 11, 2016, by and among StemCells, Inc., Stem Cell Sciences Holdings Limited, Stemcells</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California, Inc., and Boco Silicon Valley, Inc. (incorporated by reference to the Company’s Annual Report on Form 10-K for the fiscal year</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ended December 31, 2016 and filed on March 21, 2017).</w:t>
        </w:r>
      </w:hyperlink>
    </w:p>
    <w:p>
      <w:pPr>
        <w:spacing w:after="0" w:line="181" w:lineRule="exact"/>
        <w:rPr>
          <w:rFonts w:ascii="Arial" w:cs="Arial" w:eastAsia="Arial" w:hAnsi="Arial"/>
          <w:sz w:val="18"/>
          <w:szCs w:val="18"/>
          <w:u w:val="single" w:color="auto"/>
          <w:color w:val="0000EE"/>
        </w:rPr>
      </w:pPr>
    </w:p>
    <w:p>
      <w:pPr>
        <w:jc w:val="both"/>
        <w:ind w:left="900" w:hanging="776"/>
        <w:spacing w:after="0" w:line="264"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8">
        <w:r>
          <w:rPr>
            <w:rFonts w:ascii="Arial" w:cs="Arial" w:eastAsia="Arial" w:hAnsi="Arial"/>
            <w:sz w:val="18"/>
            <w:szCs w:val="18"/>
            <w:u w:val="single" w:color="auto"/>
            <w:color w:val="0000EE"/>
          </w:rPr>
          <w:t>Escrow Agreement, dated as of November 11, 2016, by and among BOCO Silicon Valley, Inc., StemCells, Inc., Continental Stock Transfer &amp;</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Trust Company, Kenneth B. Stratton and Alpha Capital Anstalt (incorporated by reference to the Company’s Annual Report on Form 10-K for</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the fiscal year ended December 31, 2016 and filed on March 21, 2017).</w:t>
        </w:r>
      </w:hyperlink>
    </w:p>
    <w:p>
      <w:pPr>
        <w:sectPr>
          <w:pgSz w:w="11900" w:h="16918" w:orient="portrait"/>
          <w:cols w:equalWidth="0" w:num="1">
            <w:col w:w="11280"/>
          </w:cols>
          <w:pgMar w:left="380" w:top="661" w:right="239" w:bottom="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380" w:type="dxa"/>
            <w:vAlign w:val="bottom"/>
            <w:gridSpan w:val="20"/>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5"/>
                <w:szCs w:val="15"/>
                <w:color w:val="auto"/>
              </w:rPr>
            </w:pPr>
          </w:p>
        </w:tc>
        <w:tc>
          <w:tcPr>
            <w:tcW w:w="10380" w:type="dxa"/>
            <w:vAlign w:val="bottom"/>
            <w:tcBorders>
              <w:top w:val="single" w:sz="8" w:color="auto"/>
              <w:bottom w:val="single" w:sz="8" w:color="0000EE"/>
            </w:tcBorders>
            <w:gridSpan w:val="20"/>
          </w:tcPr>
          <w:p>
            <w:pPr>
              <w:spacing w:after="0" w:line="17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Contract Research Agreement, dated January 27, 2017, with The Washington University (incorporated by reference to the Company’s Annual</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Report on Form 10-K for the fiscal year ended December 31, 2016 and filed on March 21,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License Agreement, dated June 20, 2012, by and between Technion Research and Development Foundation, and Microbot Medical Ltd.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(incorporated by reference to the Company’s Annual Report on Form 10-K for the fiscal year ended December 31, 2016 and filed on March 21,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41">
              <w:r>
                <w:rPr>
                  <w:rFonts w:ascii="Arial" w:cs="Arial" w:eastAsia="Arial" w:hAnsi="Arial"/>
                  <w:sz w:val="18"/>
                  <w:szCs w:val="18"/>
                  <w:color w:val="0000EE"/>
                  <w:w w:val="86"/>
                </w:rPr>
                <w:t>2017).</w:t>
              </w:r>
            </w:hyperlink>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Microbot Medical Inc. 2017 Equity Incentive Plan (incorporated by reference to the Company’s Quarterly Report on Form 10-Q for the Quarter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ended September 30, 2017, filed on November 14,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Letter Agreement, by and between the Company and Martin McGlynn, dated January 10,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Quarterly Report on Form 10-Q for the Quarter ended March 31, 2016, filed on May 10, 2016).</w:t>
              </w:r>
            </w:hyperlink>
          </w:p>
        </w:tc>
        <w:tc>
          <w:tcPr>
            <w:tcW w:w="3500" w:type="dxa"/>
            <w:vAlign w:val="bottom"/>
            <w:gridSpan w:val="8"/>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Severance Buy-Out Agreement, Compromise and Release, by and between StemCells, Inc. and Ken Stratton,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5"/>
              </w:rPr>
            </w:pPr>
            <w:hyperlink r:id="rId145">
              <w:r>
                <w:rPr>
                  <w:rFonts w:ascii="Arial" w:cs="Arial" w:eastAsia="Arial" w:hAnsi="Arial"/>
                  <w:sz w:val="18"/>
                  <w:szCs w:val="18"/>
                  <w:color w:val="0000EE"/>
                  <w:w w:val="95"/>
                </w:rPr>
                <w:t>Severance Buy-Out Agreement, Compromise and Release, by and between StemCells, Inc. and Gregory Schiffman, dated June 6, 2016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(incorporated by reference to the Company’s Quarterly Report on Form 10-Q for the Quarter ended June 30, 2016, filed on August 15, 2016).</w:t>
              </w:r>
            </w:hyperlink>
          </w:p>
        </w:tc>
        <w:tc>
          <w:tcPr>
            <w:tcW w:w="180" w:type="dxa"/>
            <w:vAlign w:val="bottom"/>
            <w:gridSpan w:val="2"/>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Severance Buy-Out Agreement, Compromise and Release, by and between StemCells, Inc. and Ian Massey,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Cooperation and Consulting Agreement, by and between StemCells, Inc. and Ken Stratton,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Cooperation and Consulting Agreement, by and between StemCells, Inc. and Gregory Schiffman, dated June 6, 2016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to the Company’s Quarterly Report on Form 10-Q for the Quarter ended June 30, 2016, filed on August 15, 2016).</w:t>
              </w:r>
            </w:hyperlink>
          </w:p>
        </w:tc>
        <w:tc>
          <w:tcPr>
            <w:tcW w:w="2140" w:type="dxa"/>
            <w:vAlign w:val="bottom"/>
            <w:gridSpan w:val="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Cooperation and Consulting Agreement, by and between StemCells, Inc. and Ian Massey,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Trust Agreement, by and between StemCells, Inc. and David A. Bradlow, dated June 16,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4"/>
              </w:rPr>
            </w:pPr>
            <w:hyperlink r:id="rId151">
              <w:r>
                <w:rPr>
                  <w:rFonts w:ascii="Arial" w:cs="Arial" w:eastAsia="Arial" w:hAnsi="Arial"/>
                  <w:sz w:val="18"/>
                  <w:szCs w:val="18"/>
                  <w:color w:val="0000EE"/>
                  <w:w w:val="94"/>
                </w:rPr>
                <w:t>Securities Exchange Agreement, dated May 10, 2017, by and between the Company and Capital Anstalt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Company’s Current Report on Form 8-K filed on January 8,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380" w:type="dxa"/>
            <w:vAlign w:val="bottom"/>
            <w:gridSpan w:val="20"/>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Asset Purchase Agreement, dated July 13, 2016, by and between StemCells, Inc. and Miltenyi Biotec, Inc.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Company’s Current Report on Form 8-K filed on August 15, 2016).</w:t>
              </w:r>
            </w:hyperlink>
          </w:p>
        </w:tc>
        <w:tc>
          <w:tcPr>
            <w:tcW w:w="54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Settlement Agreement, dated as of July 29, 2016, by and between BMR-Pacific Research Center LP and StemCells, Inc. (incorporated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reference to the Company’s Current Report on Form 8-K filed on August 15, 2016).</w:t>
              </w:r>
            </w:hyperlink>
          </w:p>
        </w:tc>
        <w:tc>
          <w:tcPr>
            <w:tcW w:w="4340" w:type="dxa"/>
            <w:vAlign w:val="bottom"/>
            <w:gridSpan w:val="9"/>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3"/>
              </w:rPr>
            </w:pPr>
            <w:hyperlink r:id="rId154">
              <w:r>
                <w:rPr>
                  <w:rFonts w:ascii="Arial" w:cs="Arial" w:eastAsia="Arial" w:hAnsi="Arial"/>
                  <w:sz w:val="18"/>
                  <w:szCs w:val="18"/>
                  <w:color w:val="0000EE"/>
                  <w:w w:val="93"/>
                </w:rPr>
                <w:t>Agreement, dated January 4, 2018, by and between CardioSert Ltd. and Microbot Medical Ltd.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Current Report on Form 8-K filed on January 8, 2018).</w:t>
              </w:r>
            </w:hyperlink>
          </w:p>
        </w:tc>
        <w:tc>
          <w:tcPr>
            <w:tcW w:w="6420" w:type="dxa"/>
            <w:vAlign w:val="bottom"/>
            <w:gridSpan w:val="1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3"/>
              </w:rPr>
              <w:t>Tolling and Standstill Agreement, dated as of April 2, 2018, by and among (a) Schulte Roth &amp; Zabel LLP, on behalf of Empery Asset Master,</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5"/>
              </w:rPr>
              <w:t>Ltd., Empery Tax Efficient LP, Empery Tax Efficient II LP, and Hudson Bay Master Fund, Ltd. and (b) Mintz, Levin, Cohn, Ferris, Glovsky</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and Popeo, P.C., on behalf of the Company.</w:t>
            </w:r>
          </w:p>
        </w:tc>
        <w:tc>
          <w:tcPr>
            <w:tcW w:w="7240" w:type="dxa"/>
            <w:vAlign w:val="bottom"/>
            <w:gridSpan w:val="15"/>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Subsidiaries of the Company (incorporated by reference to the Company’s Annual Report on Form 10-K for the fiscal year ended December 31,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2016 and filed on March 21, 2017).</w:t>
              </w:r>
            </w:hyperlink>
          </w:p>
        </w:tc>
        <w:tc>
          <w:tcPr>
            <w:tcW w:w="7820" w:type="dxa"/>
            <w:vAlign w:val="bottom"/>
            <w:gridSpan w:val="16"/>
          </w:tcPr>
          <w:p>
            <w:pPr>
              <w:spacing w:after="0"/>
              <w:rPr>
                <w:sz w:val="17"/>
                <w:szCs w:val="17"/>
                <w:color w:val="auto"/>
              </w:rPr>
            </w:pPr>
          </w:p>
        </w:tc>
      </w:tr>
      <w:tr>
        <w:trPr>
          <w:trHeight w:val="453"/>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23.1†</w:t>
            </w:r>
          </w:p>
        </w:tc>
        <w:tc>
          <w:tcPr>
            <w:tcW w:w="10380" w:type="dxa"/>
            <w:vAlign w:val="bottom"/>
            <w:gridSpan w:val="20"/>
          </w:tcPr>
          <w:p>
            <w:pPr>
              <w:spacing w:after="0"/>
              <w:rPr>
                <w:sz w:val="20"/>
                <w:szCs w:val="20"/>
                <w:color w:val="auto"/>
              </w:rPr>
            </w:pPr>
            <w:r>
              <w:rPr>
                <w:rFonts w:ascii="Arial" w:cs="Arial" w:eastAsia="Arial" w:hAnsi="Arial"/>
                <w:sz w:val="18"/>
                <w:szCs w:val="18"/>
                <w:color w:val="auto"/>
              </w:rPr>
              <w:t>Consent of Mintz, Levin, Cohn, Ferris, Glovsky and Popeo, P.C. Reference is made to Exhibit 5.1.</w:t>
            </w:r>
          </w:p>
        </w:tc>
      </w:tr>
      <w:tr>
        <w:trPr>
          <w:trHeight w:val="39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2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6020" w:type="dxa"/>
            <w:vAlign w:val="bottom"/>
            <w:gridSpan w:val="12"/>
          </w:tcPr>
          <w:p>
            <w:pPr>
              <w:spacing w:after="0"/>
              <w:rPr>
                <w:sz w:val="24"/>
                <w:szCs w:val="24"/>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0"/>
              </w:rPr>
              <w:t>24.1 ^</w:t>
            </w:r>
          </w:p>
        </w:tc>
        <w:tc>
          <w:tcPr>
            <w:tcW w:w="120" w:type="dxa"/>
            <w:vAlign w:val="bottom"/>
          </w:tcPr>
          <w:p>
            <w:pPr>
              <w:spacing w:after="0"/>
              <w:rPr>
                <w:sz w:val="24"/>
                <w:szCs w:val="24"/>
                <w:color w:val="auto"/>
              </w:rPr>
            </w:pPr>
          </w:p>
        </w:tc>
        <w:tc>
          <w:tcPr>
            <w:tcW w:w="10380" w:type="dxa"/>
            <w:vAlign w:val="bottom"/>
            <w:gridSpan w:val="20"/>
          </w:tcPr>
          <w:p>
            <w:pPr>
              <w:spacing w:after="0"/>
              <w:rPr>
                <w:rFonts w:ascii="Arial" w:cs="Arial" w:eastAsia="Arial" w:hAnsi="Arial"/>
                <w:sz w:val="18"/>
                <w:szCs w:val="18"/>
                <w:color w:val="0000EE"/>
              </w:rPr>
            </w:pPr>
            <w:hyperlink r:id="rId156">
              <w:r>
                <w:rPr>
                  <w:rFonts w:ascii="Arial" w:cs="Arial" w:eastAsia="Arial" w:hAnsi="Arial"/>
                  <w:sz w:val="18"/>
                  <w:szCs w:val="18"/>
                  <w:color w:val="0000EE"/>
                </w:rPr>
                <w:t>Power of Attorney.</w:t>
              </w:r>
            </w:hyperlink>
          </w:p>
        </w:tc>
      </w:tr>
      <w:tr>
        <w:trPr>
          <w:trHeight w:val="453"/>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13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w:t>
            </w:r>
          </w:p>
        </w:tc>
        <w:tc>
          <w:tcPr>
            <w:tcW w:w="9020" w:type="dxa"/>
            <w:vAlign w:val="bottom"/>
            <w:gridSpan w:val="18"/>
          </w:tcPr>
          <w:p>
            <w:pPr>
              <w:spacing w:after="0"/>
              <w:rPr>
                <w:sz w:val="24"/>
                <w:szCs w:val="24"/>
                <w:color w:val="auto"/>
              </w:rPr>
            </w:pP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Calculation.</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Definition.</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Labels.</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w:t>
            </w:r>
          </w:p>
        </w:tc>
      </w:tr>
      <w:tr>
        <w:trPr>
          <w:trHeight w:val="250"/>
        </w:trPr>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420"/>
          </w:cols>
          <w:pgMar w:left="240" w:top="661" w:right="239" w:bottom="0" w:gutter="0" w:footer="0" w:header="0"/>
        </w:sectPr>
      </w:pPr>
    </w:p>
    <w:bookmarkStart w:id="83" w:name="page84"/>
    <w:bookmarkEnd w:id="83"/>
    <w:p>
      <w:pPr>
        <w:ind w:left="624" w:hanging="624"/>
        <w:spacing w:after="0"/>
        <w:tabs>
          <w:tab w:leader="none" w:pos="6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4"/>
          </w:cols>
          <w:pgMar w:left="656" w:top="125"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No.1 to registration statement on Form S-1 to be signed on its behalf by the undersigned, thereunto duly authorized in the City of Hingham, Commonwealth of Massachusetts, on November 19 , 2018.</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3"/>
              </w:rPr>
              <w:t>Name</w:t>
            </w:r>
          </w:p>
        </w:tc>
        <w:tc>
          <w:tcPr>
            <w:tcW w:w="240" w:type="dxa"/>
            <w:vAlign w:val="bottom"/>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i w:val="1"/>
                <w:iCs w:val="1"/>
                <w:color w:val="auto"/>
                <w:w w:val="92"/>
              </w:rPr>
              <w:t>/s/ Harel Gadot</w:t>
            </w:r>
          </w:p>
        </w:tc>
        <w:tc>
          <w:tcPr>
            <w:tcW w:w="240" w:type="dxa"/>
            <w:vAlign w:val="bottom"/>
          </w:tcPr>
          <w:p>
            <w:pPr>
              <w:spacing w:after="0"/>
              <w:rPr>
                <w:sz w:val="19"/>
                <w:szCs w:val="19"/>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Chairman, President and Chief Executive Officer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19 , 2018</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64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0"/>
              </w:rPr>
              <w:t>Harel Gadot</w:t>
            </w:r>
          </w:p>
        </w:tc>
        <w:tc>
          <w:tcPr>
            <w:tcW w:w="24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i w:val="1"/>
                <w:iCs w:val="1"/>
                <w:color w:val="auto"/>
                <w:w w:val="92"/>
              </w:rPr>
              <w:t>/s/ David Ben Naim</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Chief Financial Officer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19 , 2018</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6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3"/>
              </w:rPr>
              <w:t>David Ben Naim</w:t>
            </w:r>
          </w:p>
        </w:tc>
        <w:tc>
          <w:tcPr>
            <w:tcW w:w="24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i w:val="1"/>
                <w:iCs w:val="1"/>
                <w:color w:val="auto"/>
                <w:w w:val="90"/>
              </w:rPr>
              <w:t>/s/ Yehezkel (Hezi) Himelfarb</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Chief Operating Officer, General Manager and 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19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3"/>
              </w:rPr>
              <w:t>Yehezkel (Hezi) Himelfarb</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19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0"/>
              </w:rPr>
              <w:t>Yoav Waizer</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19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0"/>
              </w:rPr>
              <w:t>Yoseph Bornstein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19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70"/>
              <w:spacing w:after="0"/>
              <w:rPr>
                <w:sz w:val="20"/>
                <w:szCs w:val="20"/>
                <w:color w:val="auto"/>
              </w:rPr>
            </w:pPr>
            <w:r>
              <w:rPr>
                <w:rFonts w:ascii="Arial" w:cs="Arial" w:eastAsia="Arial" w:hAnsi="Arial"/>
                <w:sz w:val="18"/>
                <w:szCs w:val="18"/>
                <w:color w:val="auto"/>
                <w:w w:val="93"/>
              </w:rPr>
              <w:t>Pratipatti Laxminarain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19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70"/>
              <w:spacing w:after="0"/>
              <w:rPr>
                <w:sz w:val="20"/>
                <w:szCs w:val="20"/>
                <w:color w:val="auto"/>
              </w:rPr>
            </w:pPr>
            <w:r>
              <w:rPr>
                <w:rFonts w:ascii="Arial" w:cs="Arial" w:eastAsia="Arial" w:hAnsi="Arial"/>
                <w:sz w:val="18"/>
                <w:szCs w:val="18"/>
                <w:color w:val="auto"/>
                <w:w w:val="93"/>
              </w:rPr>
              <w:t>Scott Burell</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19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3"/>
              </w:rPr>
              <w:t>Martin Madden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Yehezkel (Hezi) Himelfarb</w:t>
            </w:r>
          </w:p>
        </w:tc>
        <w:tc>
          <w:tcPr>
            <w:tcW w:w="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2640" w:type="dxa"/>
            <w:vAlign w:val="bottom"/>
            <w:tcBorders>
              <w:top w:val="single" w:sz="8" w:color="auto"/>
            </w:tcBorders>
          </w:tcPr>
          <w:p>
            <w:pPr>
              <w:spacing w:after="0" w:line="161" w:lineRule="exact"/>
              <w:rPr>
                <w:sz w:val="20"/>
                <w:szCs w:val="20"/>
                <w:color w:val="auto"/>
              </w:rPr>
            </w:pPr>
            <w:r>
              <w:rPr>
                <w:rFonts w:ascii="Arial" w:cs="Arial" w:eastAsia="Arial" w:hAnsi="Arial"/>
                <w:sz w:val="18"/>
                <w:szCs w:val="18"/>
                <w:color w:val="auto"/>
              </w:rPr>
              <w:t>Yehezkel (Hezi) Himelfarb</w:t>
            </w:r>
          </w:p>
        </w:tc>
        <w:tc>
          <w:tcPr>
            <w:tcW w:w="24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i w:val="1"/>
                <w:iCs w:val="1"/>
                <w:color w:val="auto"/>
              </w:rPr>
              <w:t>Attorney-in-fact</w:t>
            </w: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5" w:name="page86"/>
    <w:bookmarkEnd w:id="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u w:val="single" w:color="auto"/>
          <w:color w:val="auto"/>
        </w:rPr>
        <w:t>TOLLING AND STANDSTILL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tolling and standstill agreement (the “Agreement”) is made and entered into as of April 2, 2018 (the “Effective Date”), among: (a) Schulte Roth</w:t>
      </w:r>
    </w:p>
    <w:p>
      <w:pPr>
        <w:spacing w:after="0" w:line="46" w:lineRule="exact"/>
        <w:rPr>
          <w:sz w:val="20"/>
          <w:szCs w:val="20"/>
          <w:color w:val="auto"/>
        </w:rPr>
      </w:pPr>
    </w:p>
    <w:p>
      <w:pPr>
        <w:jc w:val="both"/>
        <w:ind w:firstLine="8"/>
        <w:spacing w:after="0" w:line="255" w:lineRule="auto"/>
        <w:tabs>
          <w:tab w:leader="none" w:pos="1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Zabel LLP, on behalf of Empery Asset Master, Ltd., Empery Tax Efficient LP, Empery Tax Efficient II LP, and Hudson Bay Master Fund, Ltd. (together, the “Investors”); and (b) Mintz, Levin, Cohn, Ferris, Glovsky and Popeo, P.C., on behalf of Microbot Medical Inc. (“Microbot” or the “Company,” and together with the Investors, the “Parties”).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on or about June 5, 2017, Microbot entered into a Stock Purchase Agreement with the Investors, among others (the “SPA”), through which the Investors purchased shares of Microbot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WHEREAS, on June 29, 2017, Sabby Healthcare Master Fund Ltd. and Sabby Volatility Warrant Master Fund Ltd. (the “Sabby Funds”), each of which are parties to the SPA and purchasers of Microbot common stock, filed a complaint in the Supreme Court of the State of New York, New York County (the “Complaint”), captioned </w:t>
      </w:r>
      <w:r>
        <w:rPr>
          <w:rFonts w:ascii="Arial" w:cs="Arial" w:eastAsia="Arial" w:hAnsi="Arial"/>
          <w:sz w:val="18"/>
          <w:szCs w:val="18"/>
          <w:i w:val="1"/>
          <w:iCs w:val="1"/>
          <w:color w:val="auto"/>
        </w:rPr>
        <w:t>Sabby Healthcare Master Fund Ltd. et al, v. Microbot Medical Inc.</w:t>
      </w:r>
      <w:r>
        <w:rPr>
          <w:rFonts w:ascii="Arial" w:cs="Arial" w:eastAsia="Arial" w:hAnsi="Arial"/>
          <w:sz w:val="18"/>
          <w:szCs w:val="18"/>
          <w:color w:val="auto"/>
        </w:rPr>
        <w:t>, Index No. 654581/2017 (N.Y. Sup. Ct. N.Y. Cnty. June 29, 2017) (the “Action”);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Sabby Funds allege in the Action that Microbot breached material representations and warranties contained in the SPA, including those set forth in paragraphs 3.1(g) and 3.1(y) and Schedule 3.1(g), by representing that Alpha Capital Anstat (“Alpha Capital”), the holder of large block of convertible shares, was an “affiliate” of the Company (the “Matter”);</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Sabby Funds allege in the Action that an affiliate of the Company would be subject to certain trading restrictions under the Securities Act of 1933, but that Alpha Capital has freely sold a large volume of common stock, leading to a significant decline in the Company’s stock price;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Investors believe that the basis for the claims asserted in the Action apply equally to the Investors (the “Investors’ Claims”);</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affirmatively has denied the allegations asserted in the Action and denies that it has any liability arising out or related to the Matter;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have engaged in settlement discussions which may obviate the need for continued or additional litigation concerning the Investors’ Claims;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Investors agree not to bring any claims against the Company arising out of the Matter;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Parties agree that if the Company reaches an agreement to settle the claims asserted by the Sabby Funds in the Action (a “Settlement”), the Company will provide the same settlement terms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 the Investors;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desire to freeze in time the rights and privileges of each Party as of the Effective Date, until: (i); an agreement to settle the Action is executed; (ii) a judgment in the Action is obtained; or (iii) the Action is otherwise dismissed with 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based on the recitals set forth above which are incorporated herein, and for other good and valuable consideration, the receipt and sufficiency of which are hereby acknowledged, the Parties agree as follows:</w:t>
      </w:r>
    </w:p>
    <w:p>
      <w:pPr>
        <w:spacing w:after="0" w:line="170" w:lineRule="exact"/>
        <w:rPr>
          <w:sz w:val="20"/>
          <w:szCs w:val="20"/>
          <w:color w:val="auto"/>
        </w:rPr>
      </w:pPr>
    </w:p>
    <w:p>
      <w:pPr>
        <w:ind w:left="6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only action, proceeding, claim, cause of action, or lawsuit that may be commenced or asserted based on the statute of limitations (“SOL”) having been tolled by this Agreement is an action by the Investors arising out of the Matter.</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This Agreement shall remain in force and effect from the Effective Date until five business days after any one of the following, whichever shall occur first (the “Expiration Date”): (i) a judgment in the Action is obtained; (ii) an agreement to settle the Action is reached; or (iii) the Action is otherwise dismissed with prejudice.; </w:t>
      </w:r>
      <w:r>
        <w:rPr>
          <w:rFonts w:ascii="Arial" w:cs="Arial" w:eastAsia="Arial" w:hAnsi="Arial"/>
          <w:sz w:val="17"/>
          <w:szCs w:val="17"/>
          <w:u w:val="single" w:color="auto"/>
          <w:color w:val="auto"/>
        </w:rPr>
        <w:t>provided</w:t>
      </w:r>
      <w:r>
        <w:rPr>
          <w:rFonts w:ascii="Arial" w:cs="Arial" w:eastAsia="Arial" w:hAnsi="Arial"/>
          <w:sz w:val="17"/>
          <w:szCs w:val="17"/>
          <w:color w:val="auto"/>
        </w:rPr>
        <w:t>, that the termination of this Agreement shall have no effect upon the Tolling Period.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time period from the Effective Date until the Expiration Date (the “Tolling Period”) shall not be counted in determining the time in which the Investors shall be permitted by any SOL to file an action. The Parties hereby expressly waive any defense under any SOL, and agree not to assert time-based defenses of any kind, including but not limited to laches, waiver, or estoppel, to any action arising out of the Matter due to the Tolling Period.</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expressly provided herein, nothing in this Agreement shall affect any defense available to any Party as of the Effective Date of this Agreement, and this Agreement shall not be deemed to revive any claim that is or was already barred on the Effective Date.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Party may extend the Tolling Period upon the written consent of the other Parties prior to the Expiration Date; in which case, the Expiration Date shall be extended until 11:59 PM (New York time) on the date so specified.</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Investors waive any right to commence an action arising out of the Matter during the Tolling Period, but nothing in this Agreement shall affect or infringe the Investors’ right to commence an action relating to other matters, including, without limitation, those relating to this Agreement, subject to paragraph 7 of this Agreement.</w:t>
      </w:r>
    </w:p>
    <w:p>
      <w:pPr>
        <w:spacing w:after="0" w:line="181"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Parties agree that if, and whenever on or after the date hereof, the Company enters into a Settlement, then (i) the Company shall provide notice thereof to the Investors immediately following the execution of the Settlement, (ii) the terms and conditions of the Settlement shall, without any further action by the Investors, automatically be extended to the Investors in an economically and legally equivalent manner to the terms of the Settlement, which shall apply pro-rata to each Investor based on the number of shares of common stock of the Company purchased by such Investor pursuant to the SPA in relation to the number of shares of common stock of the Company purchased by the Sabby Funds pursuant to the SPA (the settlement with the Investors, the “Investor Settlement”) and (iii) the Investors will either (x) accept the Investor Settlement within 10 days from the time the terms of the Investor Settlement are fully disclosed or (y) be deemed to have waived all of the Investors’ Claims.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8" w:name="page89"/>
    <w:bookmarkEnd w:id="88"/>
    <w:p>
      <w:pPr>
        <w:jc w:val="both"/>
        <w:ind w:left="660" w:hanging="652"/>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 Without limiting the generality of the foregoing, no later than five (5) business days after any Settlement, the Company shall take all actions necessary to give effect to the Investor Settlement (unless the Investors waive all of the Investors’ Claims), including by drafting a settlement agreement to be executed by the Company and the Investors reflecting the terms and conditions of the Investor Settlement.</w:t>
      </w:r>
    </w:p>
    <w:p>
      <w:pPr>
        <w:spacing w:after="0" w:line="19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Investors waive any right to commence an action arising out of the Matter and waive all of the Investors’ Claims following the receipt of an executed settlement agreement from the Company reflecting the terms and conditions of the Investor Settlement.</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Nothing in this Agreement shall constitute or be construed as an admission by any Party that any claim could or could not properly be asserted against it by any other Party, or that any such claim would or would not have any basis in law or in fact. Except as expressly provided in paragraphs 1 and 2, with respect to time-based defenses, this Agreement is not intended to and shall not have any effect upon any defense that any Party may assert in any action.</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and supersedes any prior negotiations and agreement between the Parties, whether written or oral, concerning the subject matter hereof. This Agreement may not be modified except in writing duly executed by applicable Parties or their authorized representatives.</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Agreement shall be governed in all respects by the laws of the State of New York, as applicable, in effect at the time of its execution without reference to its choice of law rules.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Agreement shall be immediately effective and enforceable upon each Party upon the execution of this Agreement by such Party.</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Agreement may be executed in counterparts by original signature, facsimile or pdf, each of which counterparts shall be deemed an original, fully enforceable counterpart for all purposes, but all of which shall together constitute one and the same agreement.</w:t>
      </w:r>
    </w:p>
    <w:p>
      <w:pPr>
        <w:spacing w:after="0" w:line="170"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66"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Parties hereby agree and acknowledge that it has had a full opportunity to consult with any individual or entity and to review any materials that it desired to review in connection with the consideration and evaluation of this Agreement. This Agreement, therefore, shall not be construed against any Party on the basis that the Party was the drafter.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SCHULTE ROTH &amp; ZABEL LLP</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Gladstein</w:t>
      </w:r>
    </w:p>
    <w:p>
      <w:pPr>
        <w:spacing w:after="0" w:line="3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Counsel to Empery and Hudson 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23495</wp:posOffset>
            </wp:positionV>
            <wp:extent cx="32588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MINTZ, LEVIN, COHN, FERRIS, GLOVSKY AND POPEO, P.C.</w:t>
      </w:r>
    </w:p>
    <w:p>
      <w:pPr>
        <w:spacing w:after="0" w:line="23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F. Sylvia</w:t>
      </w:r>
    </w:p>
    <w:p>
      <w:pPr>
        <w:spacing w:after="0" w:line="3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Counsel to Microbot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23495</wp:posOffset>
            </wp:positionV>
            <wp:extent cx="32588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40"/>
          </w:cols>
          <w:pgMar w:left="900" w:top="665" w:right="1059" w:bottom="1440" w:gutter="0" w:footer="0" w:header="0"/>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use in this Amendment No. 1 to Registration Statement No. 333-228285 on Form S-1/A of our report dated April 2, 2018, except Note 1D, as to which the date is November 8, 2018, relating to the consolidated financial statements of Microbot Medical, Inc. as of December 31, 2017 and 2016 and for each of the years then ended, appearing in the Prospectus, which is a part of this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of Deloitte Touche Tohmatsu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upperLetter"/>
      <w:start w:val="1"/>
    </w:lvl>
  </w:abstractNum>
  <w:abstractNum w:abstractNumId="22">
    <w:nsid w:val="4B588F54"/>
    <w:multiLevelType w:val="hybridMultilevel"/>
    <w:lvl w:ilvl="0">
      <w:lvlJc w:val="left"/>
      <w:lvlText w:val="%1."/>
      <w:numFmt w:val="upperLetter"/>
      <w:start w:val="2"/>
    </w:lvl>
  </w:abstractNum>
  <w:abstractNum w:abstractNumId="23">
    <w:nsid w:val="542289EC"/>
    <w:multiLevelType w:val="hybridMultilevel"/>
    <w:lvl w:ilvl="0">
      <w:lvlJc w:val="left"/>
      <w:lvlText w:val="%1."/>
      <w:numFmt w:val="upperLetter"/>
      <w:start w:val="3"/>
    </w:lvl>
  </w:abstractNum>
  <w:abstractNum w:abstractNumId="24">
    <w:nsid w:val="6DE91B18"/>
    <w:multiLevelType w:val="hybridMultilevel"/>
    <w:lvl w:ilvl="0">
      <w:lvlJc w:val="left"/>
      <w:lvlText w:val="%1."/>
      <w:numFmt w:val="upperLetter"/>
      <w:start w:val="4"/>
    </w:lvl>
  </w:abstractNum>
  <w:abstractNum w:abstractNumId="25">
    <w:nsid w:val="38437FDB"/>
    <w:multiLevelType w:val="hybridMultilevel"/>
    <w:lvl w:ilvl="0">
      <w:lvlJc w:val="left"/>
      <w:lvlText w:val="%1."/>
      <w:numFmt w:val="upperLetter"/>
      <w:start w:val="1"/>
    </w:lvl>
  </w:abstractNum>
  <w:abstractNum w:abstractNumId="26">
    <w:nsid w:val="7644A45C"/>
    <w:multiLevelType w:val="hybridMultilevel"/>
    <w:lvl w:ilvl="0">
      <w:lvlJc w:val="left"/>
      <w:lvlText w:val="%1."/>
      <w:numFmt w:val="upperLetter"/>
      <w:start w:val="2"/>
    </w:lvl>
  </w:abstractNum>
  <w:abstractNum w:abstractNumId="27">
    <w:nsid w:val="32FFF902"/>
    <w:multiLevelType w:val="hybridMultilevel"/>
    <w:lvl w:ilvl="0">
      <w:lvlJc w:val="left"/>
      <w:lvlText w:val="%1."/>
      <w:numFmt w:val="upperLetter"/>
      <w:start w:val="3"/>
    </w:lvl>
  </w:abstractNum>
  <w:abstractNum w:abstractNumId="28">
    <w:nsid w:val="684A481A"/>
    <w:multiLevelType w:val="hybridMultilevel"/>
    <w:lvl w:ilvl="0">
      <w:lvlJc w:val="left"/>
      <w:lvlText w:val="%1."/>
      <w:numFmt w:val="upperLetter"/>
      <w:start w:val="4"/>
    </w:lvl>
  </w:abstractNum>
  <w:abstractNum w:abstractNumId="29">
    <w:nsid w:val="579478FE"/>
    <w:multiLevelType w:val="hybridMultilevel"/>
    <w:lvl w:ilvl="0">
      <w:lvlJc w:val="left"/>
      <w:lvlText w:val="%1."/>
      <w:numFmt w:val="upperLetter"/>
      <w:start w:val="5"/>
    </w:lvl>
  </w:abstractNum>
  <w:abstractNum w:abstractNumId="30">
    <w:nsid w:val="749ABB43"/>
    <w:multiLevelType w:val="hybridMultilevel"/>
    <w:lvl w:ilvl="0">
      <w:lvlJc w:val="left"/>
      <w:lvlText w:val="%1."/>
      <w:numFmt w:val="upperLetter"/>
      <w:start w:val="6"/>
    </w:lvl>
  </w:abstractNum>
  <w:abstractNum w:abstractNumId="31">
    <w:nsid w:val="3DC240FB"/>
    <w:multiLevelType w:val="hybridMultilevel"/>
    <w:lvl w:ilvl="0">
      <w:lvlJc w:val="left"/>
      <w:lvlText w:val="%1."/>
      <w:numFmt w:val="upperLetter"/>
      <w:start w:val="7"/>
    </w:lvl>
  </w:abstractNum>
  <w:abstractNum w:abstractNumId="32">
    <w:nsid w:val="1BA026FA"/>
    <w:multiLevelType w:val="hybridMultilevel"/>
    <w:lvl w:ilvl="0">
      <w:lvlJc w:val="left"/>
      <w:lvlText w:val="%1."/>
      <w:numFmt w:val="upperLetter"/>
      <w:start w:val="8"/>
    </w:lvl>
  </w:abstractNum>
  <w:abstractNum w:abstractNumId="33">
    <w:nsid w:val="79A1DEAA"/>
    <w:multiLevelType w:val="hybridMultilevel"/>
    <w:lvl w:ilvl="0">
      <w:lvlJc w:val="left"/>
      <w:lvlText w:val="%1."/>
      <w:numFmt w:val="upperLetter"/>
      <w:start w:val="9"/>
    </w:lvl>
  </w:abstractNum>
  <w:abstractNum w:abstractNumId="34">
    <w:nsid w:val="75C6C33A"/>
    <w:multiLevelType w:val="hybridMultilevel"/>
    <w:lvl w:ilvl="0">
      <w:lvlJc w:val="left"/>
      <w:lvlText w:val="%1."/>
      <w:numFmt w:val="upperLetter"/>
      <w:start w:val="10"/>
    </w:lvl>
  </w:abstractNum>
  <w:abstractNum w:abstractNumId="35">
    <w:nsid w:val="12E685FB"/>
    <w:multiLevelType w:val="hybridMultilevel"/>
    <w:lvl w:ilvl="0">
      <w:lvlJc w:val="left"/>
      <w:lvlText w:val="%1."/>
      <w:numFmt w:val="upperLetter"/>
      <w:start w:val="11"/>
    </w:lvl>
  </w:abstractNum>
  <w:abstractNum w:abstractNumId="36">
    <w:nsid w:val="70C6A529"/>
    <w:multiLevelType w:val="hybridMultilevel"/>
    <w:lvl w:ilvl="0">
      <w:lvlJc w:val="left"/>
      <w:lvlText w:val="%1."/>
      <w:numFmt w:val="upperLetter"/>
      <w:start w:val="12"/>
    </w:lvl>
  </w:abstractNum>
  <w:abstractNum w:abstractNumId="37">
    <w:nsid w:val="520EEDD1"/>
    <w:multiLevelType w:val="hybridMultilevel"/>
    <w:lvl w:ilvl="0">
      <w:lvlJc w:val="left"/>
      <w:lvlText w:val="%1."/>
      <w:numFmt w:val="upperLetter"/>
      <w:start w:val="13"/>
    </w:lvl>
  </w:abstractNum>
  <w:abstractNum w:abstractNumId="38">
    <w:nsid w:val="374A3FE6"/>
    <w:multiLevelType w:val="hybridMultilevel"/>
    <w:lvl w:ilvl="0">
      <w:lvlJc w:val="left"/>
      <w:lvlText w:val="%1."/>
      <w:numFmt w:val="upperLetter"/>
      <w:start w:val="14"/>
    </w:lvl>
  </w:abstractNum>
  <w:abstractNum w:abstractNumId="39">
    <w:nsid w:val="4F4EF005"/>
    <w:multiLevelType w:val="hybridMultilevel"/>
    <w:lvl w:ilvl="0">
      <w:lvlJc w:val="left"/>
      <w:lvlText w:val="(%1)"/>
      <w:numFmt w:val="lowerRoman"/>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upperLetter"/>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upperLetter"/>
      <w:start w:val="1"/>
    </w:lvl>
  </w:abstractNum>
  <w:abstractNum w:abstractNumId="55">
    <w:nsid w:val="7E0C57B1"/>
    <w:multiLevelType w:val="hybridMultilevel"/>
    <w:lvl w:ilvl="0">
      <w:lvlJc w:val="left"/>
      <w:lvlText w:val="%1."/>
      <w:numFmt w:val="upperLetter"/>
      <w:start w:val="4"/>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lvl w:ilvl="1">
      <w:lvlJc w:val="left"/>
      <w:lvlText w:val="(%2)"/>
      <w:numFmt w:val="lowerRoman"/>
      <w:start w:val="1"/>
    </w:lvl>
  </w:abstractNum>
  <w:abstractNum w:abstractNumId="64">
    <w:nsid w:val="1F48EAA1"/>
    <w:multiLevelType w:val="hybridMultilevel"/>
    <w:lvl w:ilvl="0">
      <w:lvlJc w:val="left"/>
      <w:lvlText w:val="%1."/>
      <w:numFmt w:val="decimal"/>
      <w:start w:val="3"/>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amp;"/>
      <w:numFmt w:val="bullet"/>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9"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18" Type="http://schemas.openxmlformats.org/officeDocument/2006/relationships/hyperlink" Target="http://www.sec.gov/Archives/edgar/data/883975/000119312516682077/d161430dex21.htm" TargetMode="External"/><Relationship Id="rId119" Type="http://schemas.openxmlformats.org/officeDocument/2006/relationships/hyperlink" Target="http://www.sec.gov/Archives/edgar/data/883975/000095013407005808/f27726exv3w1.htm" TargetMode="External"/><Relationship Id="rId120" Type="http://schemas.openxmlformats.org/officeDocument/2006/relationships/hyperlink" Target="http://www.sec.gov/Archives/edgar/data/883975/000119312516779597/d296933dex31.htm" TargetMode="External"/><Relationship Id="rId121" Type="http://schemas.openxmlformats.org/officeDocument/2006/relationships/hyperlink" Target="http://www.sec.gov/Archives/edgar/data/883975/000149315218012872/ex3-1.htm" TargetMode="External"/><Relationship Id="rId122" Type="http://schemas.openxmlformats.org/officeDocument/2006/relationships/hyperlink" Target="http://www.sec.gov/Archives/edgar/data/883975/000100944816000082/exhibit31.htm" TargetMode="External"/><Relationship Id="rId123" Type="http://schemas.openxmlformats.org/officeDocument/2006/relationships/hyperlink" Target="http://www.sec.gov/Archives/edgar/data/883975/000149315217005017/ex3-1.htm" TargetMode="External"/><Relationship Id="rId124" Type="http://schemas.openxmlformats.org/officeDocument/2006/relationships/hyperlink" Target="http://www.sec.gov/Archives/edgar/data/883975/000129993316002374/exhibit1.htm" TargetMode="External"/><Relationship Id="rId125" Type="http://schemas.openxmlformats.org/officeDocument/2006/relationships/hyperlink" Target="http://www.sec.gov/Archives/edgar/data/883975/000119312516501361/d68391dex41.htm" TargetMode="External"/><Relationship Id="rId126" Type="http://schemas.openxmlformats.org/officeDocument/2006/relationships/hyperlink" Target="http://www.sec.gov/Archives/edgar/data/883975/000119312516501361/d68391dex42.htm" TargetMode="External"/><Relationship Id="rId127" Type="http://schemas.openxmlformats.org/officeDocument/2006/relationships/hyperlink" Target="http://www.sec.gov/Archives/edgar/data/883975/000119312516779597/d296933dex101.htm" TargetMode="External"/><Relationship Id="rId128" Type="http://schemas.openxmlformats.org/officeDocument/2006/relationships/hyperlink" Target="http://www.sec.gov/Archives/edgar/data/883975/000119312516779597/d296933dex102.htm" TargetMode="External"/><Relationship Id="rId129" Type="http://schemas.openxmlformats.org/officeDocument/2006/relationships/hyperlink" Target="http://www.sec.gov/Archives/edgar/data/883975/000119312516779597/d296933dex103.htm" TargetMode="External"/><Relationship Id="rId130" Type="http://schemas.openxmlformats.org/officeDocument/2006/relationships/hyperlink" Target="http://www.sec.gov/Archives/edgar/data/883975/000119312516779597/d296933dex104.htm" TargetMode="External"/><Relationship Id="rId131" Type="http://schemas.openxmlformats.org/officeDocument/2006/relationships/hyperlink" Target="http://www.sec.gov/Archives/edgar/data/883975/000119312516779597/d296933dex105.htm" TargetMode="External"/><Relationship Id="rId132" Type="http://schemas.openxmlformats.org/officeDocument/2006/relationships/hyperlink" Target="http://www.sec.gov/Archives/edgar/data/883975/000119312516779597/d296933dex106.htm" TargetMode="External"/><Relationship Id="rId133" Type="http://schemas.openxmlformats.org/officeDocument/2006/relationships/hyperlink" Target="http://www.sec.gov/Archives/edgar/data/883975/000100944816000078/exhibit101.htm" TargetMode="External"/><Relationship Id="rId134" Type="http://schemas.openxmlformats.org/officeDocument/2006/relationships/hyperlink" Target="http://www.sec.gov/Archives/edgar/data/883975/000100944816000082/exhibit101.htm" TargetMode="External"/><Relationship Id="rId135" Type="http://schemas.openxmlformats.org/officeDocument/2006/relationships/hyperlink" Target="http://www.sec.gov/Archives/edgar/data/883975/000119312517003127/d288153dex101.htm" TargetMode="External"/><Relationship Id="rId136" Type="http://schemas.openxmlformats.org/officeDocument/2006/relationships/hyperlink" Target="http://www.sec.gov/Archives/edgar/data/883975/000119312517003127/d288153dex102.htm" TargetMode="External"/><Relationship Id="rId137" Type="http://schemas.openxmlformats.org/officeDocument/2006/relationships/hyperlink" Target="http://www.sec.gov/Archives/edgar/data/883975/000149315217002678/ex10-11.htm" TargetMode="External"/><Relationship Id="rId138" Type="http://schemas.openxmlformats.org/officeDocument/2006/relationships/hyperlink" Target="http://www.sec.gov/Archives/edgar/data/883975/000149315217002678/ex10-12.htm" TargetMode="External"/><Relationship Id="rId140" Type="http://schemas.openxmlformats.org/officeDocument/2006/relationships/hyperlink" Target="http://www.sec.gov/Archives/edgar/data/883975/000149315217002678/ex10-13.htm" TargetMode="External"/><Relationship Id="rId141" Type="http://schemas.openxmlformats.org/officeDocument/2006/relationships/hyperlink" Target="http://www.sec.gov/Archives/edgar/data/883975/000149315217002678/ex10-14.htm" TargetMode="External"/><Relationship Id="rId142" Type="http://schemas.openxmlformats.org/officeDocument/2006/relationships/hyperlink" Target="http://www.sec.gov/Archives/edgar/data/883975/000149315217013222/ex10-1.htm" TargetMode="External"/><Relationship Id="rId143" Type="http://schemas.openxmlformats.org/officeDocument/2006/relationships/hyperlink" Target="http://www.sec.gov/Archives/edgar/data/883975/000119312516585591/d184554dex101.htm" TargetMode="External"/><Relationship Id="rId144" Type="http://schemas.openxmlformats.org/officeDocument/2006/relationships/hyperlink" Target="http://www.sec.gov/Archives/edgar/data/883975/000119312516681927/d398404dex101.htm" TargetMode="External"/><Relationship Id="rId145" Type="http://schemas.openxmlformats.org/officeDocument/2006/relationships/hyperlink" Target="http://www.sec.gov/Archives/edgar/data/883975/000119312516681927/d398404dex102.htm" TargetMode="External"/><Relationship Id="rId146" Type="http://schemas.openxmlformats.org/officeDocument/2006/relationships/hyperlink" Target="http://www.sec.gov/Archives/edgar/data/883975/000119312516681927/d398404dex103.htm" TargetMode="External"/><Relationship Id="rId147" Type="http://schemas.openxmlformats.org/officeDocument/2006/relationships/hyperlink" Target="http://www.sec.gov/Archives/edgar/data/883975/000119312516681927/d398404dex104.htm" TargetMode="External"/><Relationship Id="rId148" Type="http://schemas.openxmlformats.org/officeDocument/2006/relationships/hyperlink" Target="http://www.sec.gov/Archives/edgar/data/883975/000119312516681927/d398404dex105.htm" TargetMode="External"/><Relationship Id="rId149" Type="http://schemas.openxmlformats.org/officeDocument/2006/relationships/hyperlink" Target="http://www.sec.gov/Archives/edgar/data/883975/000119312516681927/d398404dex106.htm" TargetMode="External"/><Relationship Id="rId150" Type="http://schemas.openxmlformats.org/officeDocument/2006/relationships/hyperlink" Target="http://www.sec.gov/Archives/edgar/data/883975/000119312516681927/d398404dex107.htm" TargetMode="External"/><Relationship Id="rId151" Type="http://schemas.openxmlformats.org/officeDocument/2006/relationships/hyperlink" Target="http://www.sec.gov/Archives/edgar/data/883975/000149315217005017/ex10-1.htm" TargetMode="External"/><Relationship Id="rId152" Type="http://schemas.openxmlformats.org/officeDocument/2006/relationships/hyperlink" Target="http://www.sec.gov/Archives/edgar/data/883975/000119312516682077/d161430dex104.htm" TargetMode="External"/><Relationship Id="rId153" Type="http://schemas.openxmlformats.org/officeDocument/2006/relationships/hyperlink" Target="http://www.sec.gov/Archives/edgar/data/883975/000119312516682077/d161430dex105.htm" TargetMode="External"/><Relationship Id="rId154" Type="http://schemas.openxmlformats.org/officeDocument/2006/relationships/hyperlink" Target="http://www.sec.gov/Archives/edgar/data/883975/000149315218000286/ex10-1.htm" TargetMode="External"/><Relationship Id="rId155" Type="http://schemas.openxmlformats.org/officeDocument/2006/relationships/hyperlink" Target="http://www.sec.gov/Archives/edgar/data/883975/000149315217002678/ex21-1.htm" TargetMode="External"/><Relationship Id="rId156" Type="http://schemas.openxmlformats.org/officeDocument/2006/relationships/hyperlink" Target="http://www.sec.gov/Archives/edgar/data/883975/000149315218015496/forms-1.htm#t_0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2019-12-05T23:12:14Z</dcterms:created>
  <dcterms:modified xsi:type="dcterms:W3CDTF">2019-12-05T23:12:14Z</dcterms:modified>
</cp:coreProperties>
</file>