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40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511"/>
        </w:trPr>
        <w:tc>
          <w:tcPr>
            <w:tcW w:w="3020" w:type="dxa"/>
            <w:vAlign w:val="bottom"/>
            <w:gridSpan w:val="2"/>
          </w:tcPr>
          <w:p>
            <w:pPr>
              <w:spacing w:after="0"/>
              <w:rPr>
                <w:sz w:val="20"/>
                <w:szCs w:val="20"/>
                <w:color w:val="auto"/>
              </w:rPr>
            </w:pPr>
            <w:r>
              <w:rPr>
                <w:rFonts w:ascii="Arial" w:cs="Arial" w:eastAsia="Arial" w:hAnsi="Arial"/>
                <w:sz w:val="18"/>
                <w:szCs w:val="18"/>
                <w:color w:val="auto"/>
              </w:rPr>
              <w:t>PROSPECTUS SUPPLEMENT</w:t>
            </w:r>
          </w:p>
        </w:tc>
        <w:tc>
          <w:tcPr>
            <w:tcW w:w="8400" w:type="dxa"/>
            <w:vAlign w:val="bottom"/>
          </w:tcPr>
          <w:p>
            <w:pPr>
              <w:jc w:val="right"/>
              <w:spacing w:after="0"/>
              <w:rPr>
                <w:sz w:val="20"/>
                <w:szCs w:val="20"/>
                <w:color w:val="auto"/>
              </w:rPr>
            </w:pPr>
            <w:r>
              <w:rPr>
                <w:rFonts w:ascii="Arial" w:cs="Arial" w:eastAsia="Arial" w:hAnsi="Arial"/>
                <w:sz w:val="18"/>
                <w:szCs w:val="18"/>
                <w:color w:val="auto"/>
              </w:rPr>
              <w:t>Filed pursuant to Rule 424(b)(5)</w:t>
            </w:r>
          </w:p>
        </w:tc>
      </w:tr>
      <w:tr>
        <w:trPr>
          <w:trHeight w:val="223"/>
        </w:trPr>
        <w:tc>
          <w:tcPr>
            <w:tcW w:w="3020" w:type="dxa"/>
            <w:vAlign w:val="bottom"/>
            <w:gridSpan w:val="2"/>
          </w:tcPr>
          <w:p>
            <w:pPr>
              <w:spacing w:after="0"/>
              <w:rPr>
                <w:sz w:val="20"/>
                <w:szCs w:val="20"/>
                <w:color w:val="auto"/>
              </w:rPr>
            </w:pPr>
            <w:r>
              <w:rPr>
                <w:rFonts w:ascii="Arial" w:cs="Arial" w:eastAsia="Arial" w:hAnsi="Arial"/>
                <w:sz w:val="18"/>
                <w:szCs w:val="18"/>
                <w:color w:val="auto"/>
              </w:rPr>
              <w:t>(To Prospectus dated July 18, 2008)</w:t>
            </w:r>
          </w:p>
        </w:tc>
        <w:tc>
          <w:tcPr>
            <w:tcW w:w="8400" w:type="dxa"/>
            <w:vAlign w:val="bottom"/>
          </w:tcPr>
          <w:p>
            <w:pPr>
              <w:jc w:val="right"/>
              <w:spacing w:after="0"/>
              <w:rPr>
                <w:sz w:val="20"/>
                <w:szCs w:val="20"/>
                <w:color w:val="auto"/>
              </w:rPr>
            </w:pPr>
            <w:r>
              <w:rPr>
                <w:rFonts w:ascii="Arial" w:cs="Arial" w:eastAsia="Arial" w:hAnsi="Arial"/>
                <w:sz w:val="18"/>
                <w:szCs w:val="18"/>
                <w:color w:val="auto"/>
              </w:rPr>
              <w:t>Registration No. 333-151891</w:t>
            </w:r>
          </w:p>
        </w:tc>
      </w:tr>
      <w:tr>
        <w:trPr>
          <w:trHeight w:val="513"/>
        </w:trPr>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0" w:type="dxa"/>
            <w:vAlign w:val="bottom"/>
          </w:tcPr>
          <w:p>
            <w:pPr>
              <w:jc w:val="right"/>
              <w:ind w:right="4252"/>
              <w:spacing w:after="0"/>
              <w:rPr>
                <w:sz w:val="20"/>
                <w:szCs w:val="20"/>
                <w:color w:val="auto"/>
              </w:rPr>
            </w:pPr>
            <w:r>
              <w:rPr>
                <w:rFonts w:ascii="Arial" w:cs="Arial" w:eastAsia="Arial" w:hAnsi="Arial"/>
                <w:sz w:val="18"/>
                <w:szCs w:val="18"/>
                <w:b w:val="1"/>
                <w:bCs w:val="1"/>
                <w:color w:val="auto"/>
              </w:rPr>
              <w:t>13,793,104 Shares of Common Stock</w:t>
            </w:r>
          </w:p>
        </w:tc>
      </w:tr>
      <w:tr>
        <w:trPr>
          <w:trHeight w:val="229"/>
        </w:trPr>
        <w:tc>
          <w:tcPr>
            <w:tcW w:w="1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0" w:type="dxa"/>
            <w:vAlign w:val="bottom"/>
          </w:tcPr>
          <w:p>
            <w:pPr>
              <w:jc w:val="right"/>
              <w:ind w:right="3392"/>
              <w:spacing w:after="0"/>
              <w:rPr>
                <w:sz w:val="20"/>
                <w:szCs w:val="20"/>
                <w:color w:val="auto"/>
              </w:rPr>
            </w:pPr>
            <w:r>
              <w:rPr>
                <w:rFonts w:ascii="Arial" w:cs="Arial" w:eastAsia="Arial" w:hAnsi="Arial"/>
                <w:sz w:val="18"/>
                <w:szCs w:val="18"/>
                <w:b w:val="1"/>
                <w:bCs w:val="1"/>
                <w:color w:val="auto"/>
                <w:w w:val="96"/>
              </w:rPr>
              <w:t>Warrants to Purchase 10,344,828 Shares of 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67945</wp:posOffset>
            </wp:positionV>
            <wp:extent cx="1936750" cy="379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6750" cy="37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are offering up to 13,793,104 shares of our common stock and warrants to purchase up to 10,344,828 shares of our common stock in this offering (and the shares of common stock issuable from time to time upon exercise of these warrants). The common stock and warrants will be sold in units, with each unit consisting of one share of common stock and a warrant to purchase 0.75 shares of common stock at an exercise price of $2.30 per share of common stock. Each unit will be sold at a negotiated price of $1.45 per unit. The shares of common stock and warrants will be issued separately but can only be purchased together in this offering.</w:t>
      </w:r>
    </w:p>
    <w:p>
      <w:pPr>
        <w:spacing w:after="0" w:line="89"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Units will not be issued or certificated. Our common stock is quoted on The Nasdaq Global Market under the symbol “STEM.” On November 11, 2008, the last reported sales price of our common stock on The Nasdaq Global Market was $2.09 per share.</w:t>
      </w:r>
    </w:p>
    <w:p>
      <w:pPr>
        <w:spacing w:after="0" w:line="67"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b w:val="1"/>
          <w:bCs w:val="1"/>
          <w:color w:val="auto"/>
        </w:rPr>
        <w:t>Investing in our securities involves a high degree of risk. Before buying any securities, you should read the discussion of material risks of investing in our common stock under the heading “Risk factors” beginning on page S-3 of this prospectus supplement.</w:t>
      </w:r>
    </w:p>
    <w:p>
      <w:pPr>
        <w:spacing w:after="0" w:line="61" w:lineRule="exact"/>
        <w:rPr>
          <w:sz w:val="20"/>
          <w:szCs w:val="20"/>
          <w:color w:val="auto"/>
        </w:rPr>
      </w:pPr>
    </w:p>
    <w:p>
      <w:pPr>
        <w:ind w:right="200"/>
        <w:spacing w:after="0" w:line="373"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ind w:right="60"/>
        <w:spacing w:after="0" w:line="250" w:lineRule="auto"/>
        <w:rPr>
          <w:sz w:val="20"/>
          <w:szCs w:val="20"/>
          <w:color w:val="auto"/>
        </w:rPr>
      </w:pPr>
      <w:r>
        <w:rPr>
          <w:rFonts w:ascii="Arial" w:cs="Arial" w:eastAsia="Arial" w:hAnsi="Arial"/>
          <w:sz w:val="18"/>
          <w:szCs w:val="18"/>
          <w:color w:val="auto"/>
        </w:rPr>
        <w:t>We have retained Susquehanna Financial Group, LLLP and Dawson James Securities, Inc. to act as our exclusive co-placement agents in connection with this offering. We have agreed to pay the placement agents the placement agent fees set forth in the table below, which assumes that we sell all of the units we are offering. We have also agreed to reimburse the placement agents for certain of their expenses as described under “Plan of distribution” in this prospectus supplement. The placement agents are not required to arrange for the sale of any specific number of units or dollar amount but will use commercially reasonable efforts to arrange for the sale of all of the units.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tcPr>
          <w:p>
            <w:pPr>
              <w:jc w:val="center"/>
              <w:ind w:left="160"/>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180" w:type="dxa"/>
            <w:vAlign w:val="bottom"/>
            <w:gridSpan w:val="2"/>
            <w:vMerge w:val="restart"/>
          </w:tcPr>
          <w:p>
            <w:pPr>
              <w:jc w:val="right"/>
              <w:ind w:right="452"/>
              <w:spacing w:after="0"/>
              <w:rPr>
                <w:sz w:val="20"/>
                <w:szCs w:val="20"/>
                <w:color w:val="auto"/>
              </w:rPr>
            </w:pPr>
            <w:r>
              <w:rPr>
                <w:rFonts w:ascii="Arial" w:cs="Arial" w:eastAsia="Arial" w:hAnsi="Arial"/>
                <w:sz w:val="14"/>
                <w:szCs w:val="14"/>
                <w:b w:val="1"/>
                <w:bCs w:val="1"/>
                <w:color w:val="auto"/>
              </w:rPr>
              <w:t>Per Unit</w:t>
            </w:r>
          </w:p>
        </w:tc>
        <w:tc>
          <w:tcPr>
            <w:tcW w:w="1860" w:type="dxa"/>
            <w:vAlign w:val="bottom"/>
          </w:tcPr>
          <w:p>
            <w:pPr>
              <w:jc w:val="center"/>
              <w:ind w:left="140"/>
              <w:spacing w:after="0" w:line="146"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2"/>
            <w:vMerge w:val="continue"/>
          </w:tcPr>
          <w:p>
            <w:pPr>
              <w:spacing w:after="0"/>
              <w:rPr>
                <w:sz w:val="15"/>
                <w:szCs w:val="15"/>
                <w:color w:val="auto"/>
              </w:rPr>
            </w:pPr>
          </w:p>
        </w:tc>
        <w:tc>
          <w:tcPr>
            <w:tcW w:w="1860" w:type="dxa"/>
            <w:vAlign w:val="bottom"/>
            <w:tcBorders>
              <w:bottom w:val="single" w:sz="8" w:color="auto"/>
            </w:tcBorders>
          </w:tcPr>
          <w:p>
            <w:pPr>
              <w:jc w:val="center"/>
              <w:ind w:lef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3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1.45</w:t>
            </w:r>
          </w:p>
        </w:tc>
        <w:tc>
          <w:tcPr>
            <w:tcW w:w="18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8"/>
                <w:szCs w:val="18"/>
                <w:color w:val="auto"/>
              </w:rPr>
              <w:t>20,000,000.80</w:t>
            </w:r>
          </w:p>
        </w:tc>
        <w:tc>
          <w:tcPr>
            <w:tcW w:w="0" w:type="dxa"/>
            <w:vAlign w:val="bottom"/>
          </w:tcPr>
          <w:p>
            <w:pPr>
              <w:spacing w:after="0"/>
              <w:rPr>
                <w:sz w:val="1"/>
                <w:szCs w:val="1"/>
                <w:color w:val="auto"/>
              </w:rPr>
            </w:pPr>
          </w:p>
        </w:tc>
      </w:tr>
      <w:tr>
        <w:trPr>
          <w:trHeight w:val="225"/>
        </w:trPr>
        <w:tc>
          <w:tcPr>
            <w:tcW w:w="5380" w:type="dxa"/>
            <w:vAlign w:val="bottom"/>
            <w:gridSpan w:val="2"/>
          </w:tcPr>
          <w:p>
            <w:pPr>
              <w:spacing w:after="0"/>
              <w:rPr>
                <w:sz w:val="20"/>
                <w:szCs w:val="20"/>
                <w:color w:val="auto"/>
              </w:rPr>
            </w:pPr>
            <w:r>
              <w:rPr>
                <w:rFonts w:ascii="Arial" w:cs="Arial" w:eastAsia="Arial" w:hAnsi="Arial"/>
                <w:sz w:val="18"/>
                <w:szCs w:val="18"/>
                <w:color w:val="auto"/>
              </w:rPr>
              <w:t>Placement agent fees</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2"/>
              <w:spacing w:after="0"/>
              <w:rPr>
                <w:sz w:val="20"/>
                <w:szCs w:val="20"/>
                <w:color w:val="auto"/>
              </w:rPr>
            </w:pPr>
            <w:r>
              <w:rPr>
                <w:rFonts w:ascii="Arial" w:cs="Arial" w:eastAsia="Arial" w:hAnsi="Arial"/>
                <w:sz w:val="18"/>
                <w:szCs w:val="18"/>
                <w:color w:val="auto"/>
                <w:w w:val="79"/>
              </w:rPr>
              <w:t>0.087</w:t>
            </w:r>
          </w:p>
        </w:tc>
        <w:tc>
          <w:tcPr>
            <w:tcW w:w="1860" w:type="dxa"/>
            <w:vAlign w:val="bottom"/>
          </w:tcPr>
          <w:p>
            <w:pPr>
              <w:jc w:val="right"/>
              <w:ind w:right="220"/>
              <w:spacing w:after="0"/>
              <w:rPr>
                <w:sz w:val="20"/>
                <w:szCs w:val="20"/>
                <w:color w:val="auto"/>
              </w:rPr>
            </w:pPr>
            <w:r>
              <w:rPr>
                <w:rFonts w:ascii="Arial" w:cs="Arial" w:eastAsia="Arial" w:hAnsi="Arial"/>
                <w:sz w:val="18"/>
                <w:szCs w:val="18"/>
                <w:color w:val="auto"/>
              </w:rPr>
              <w:t>1,200,000.05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79"/>
              </w:rPr>
              <w:t>1.363</w:t>
            </w:r>
          </w:p>
        </w:tc>
        <w:tc>
          <w:tcPr>
            <w:tcW w:w="18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8"/>
                <w:szCs w:val="18"/>
                <w:color w:val="auto"/>
              </w:rPr>
              <w:t>18,800,000.75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estimate the total expenses of this offering, excluding the placement agent fees, will be approximately $300,000. Because there is no minimum offering amount required as a condition to closing in this offering, the actual offering amount, the placement agent fees and proceeds to us, if any, in this offering may be substantially less than the maximum offering amounts set forth above.</w:t>
      </w:r>
    </w:p>
    <w:p>
      <w:pPr>
        <w:spacing w:after="0" w:line="200" w:lineRule="exact"/>
        <w:rPr>
          <w:sz w:val="20"/>
          <w:szCs w:val="20"/>
          <w:color w:val="auto"/>
        </w:rPr>
      </w:pPr>
    </w:p>
    <w:p>
      <w:pPr>
        <w:spacing w:after="0"/>
        <w:tabs>
          <w:tab w:leader="none" w:pos="8680" w:val="left"/>
        </w:tabs>
        <w:rPr>
          <w:sz w:val="20"/>
          <w:szCs w:val="20"/>
          <w:color w:val="auto"/>
        </w:rPr>
      </w:pPr>
      <w:r>
        <w:rPr>
          <w:rFonts w:ascii="Arial" w:cs="Arial" w:eastAsia="Arial" w:hAnsi="Arial"/>
          <w:sz w:val="21"/>
          <w:szCs w:val="21"/>
          <w:b w:val="1"/>
          <w:bCs w:val="1"/>
          <w:color w:val="auto"/>
        </w:rPr>
        <w:t>Susquehanna Financial Group, LLLP</w:t>
      </w:r>
      <w:r>
        <w:rPr>
          <w:sz w:val="20"/>
          <w:szCs w:val="20"/>
          <w:color w:val="auto"/>
        </w:rPr>
        <w:tab/>
      </w:r>
      <w:r>
        <w:rPr>
          <w:rFonts w:ascii="Arial" w:cs="Arial" w:eastAsia="Arial" w:hAnsi="Arial"/>
          <w:sz w:val="18"/>
          <w:szCs w:val="18"/>
          <w:b w:val="1"/>
          <w:bCs w:val="1"/>
          <w:color w:val="auto"/>
        </w:rPr>
        <w:t>Dawson James Securities,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November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2" w:name="page3"/>
    <w:bookmarkEnd w:id="2"/>
    <w:p>
      <w:pPr>
        <w:ind w:right="40"/>
        <w:spacing w:after="0" w:line="266" w:lineRule="auto"/>
        <w:rPr>
          <w:sz w:val="20"/>
          <w:szCs w:val="20"/>
          <w:color w:val="auto"/>
        </w:rPr>
      </w:pPr>
      <w:r>
        <w:rPr>
          <w:rFonts w:ascii="Arial" w:cs="Arial" w:eastAsia="Arial" w:hAnsi="Arial"/>
          <w:sz w:val="17"/>
          <w:szCs w:val="17"/>
          <w:b w:val="1"/>
          <w:bCs w:val="1"/>
          <w:color w:val="auto"/>
        </w:rPr>
        <w:t>This prospectus supplement is not complete without, and may not be utilized except in connection with, the accompanying prospectus dated July 18, 2008 and any amendments to such prospectus. This prospectus supplement provides supplemental information regarding us, updates certain information contained in the accompanying prospectus and describes the specific terms of this offering. The accompanying prospectus gives more general information, some of which may not apply to this offering. We incorporate important information into this prospectus supplement and the accompanying prospectus by reference. You may obtain the information incorporated by reference into this prospectus supplement and the accompanying prospectus without charge by following the instructions under “Where you can find more information.” You should carefully read both this prospectus supplement and the accompanying prospectus, as well as the additional information described under ''Incorporation of certain documents by reference,” before deciding to invest in the units.</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You should rely only on the information contained and incorporated by reference in this prospectus supplement and the accompanying prospectus. We have not, and the placement agents have not, authorized anyone to give you different or additional information. You should not assume that the information included or incorporated by reference in this prospectus supplement and accompanying prospectus is accurate as of any date after the respective dates of the documents containing the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40" w:type="dxa"/>
            <w:vAlign w:val="bottom"/>
            <w:gridSpan w:val="19"/>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8640" w:type="dxa"/>
            <w:vAlign w:val="bottom"/>
            <w:gridSpan w:val="8"/>
            <w:vMerge w:val="restart"/>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1"/>
        </w:trPr>
        <w:tc>
          <w:tcPr>
            <w:tcW w:w="2340" w:type="dxa"/>
            <w:vAlign w:val="bottom"/>
            <w:tcBorders>
              <w:bottom w:val="single" w:sz="8" w:color="0000EE"/>
            </w:tcBorders>
            <w:gridSpan w:val="19"/>
            <w:vMerge w:val="continue"/>
          </w:tcPr>
          <w:p>
            <w:pPr>
              <w:spacing w:after="0"/>
              <w:rPr>
                <w:sz w:val="14"/>
                <w:szCs w:val="14"/>
                <w:color w:val="auto"/>
              </w:rPr>
            </w:pPr>
          </w:p>
        </w:tc>
        <w:tc>
          <w:tcPr>
            <w:tcW w:w="8640" w:type="dxa"/>
            <w:vAlign w:val="bottom"/>
            <w:gridSpan w:val="8"/>
            <w:vMerge w:val="continue"/>
          </w:tcPr>
          <w:p>
            <w:pPr>
              <w:spacing w:after="0"/>
              <w:rPr>
                <w:sz w:val="14"/>
                <w:szCs w:val="14"/>
                <w:color w:val="auto"/>
              </w:rPr>
            </w:pPr>
          </w:p>
        </w:tc>
        <w:tc>
          <w:tcPr>
            <w:tcW w:w="38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60" w:type="dxa"/>
            <w:vAlign w:val="bottom"/>
            <w:tcBorders>
              <w:bottom w:val="single" w:sz="8" w:color="0000EE"/>
            </w:tcBorders>
            <w:gridSpan w:val="3"/>
          </w:tcPr>
          <w:p>
            <w:pPr>
              <w:spacing w:after="0" w:line="192"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Risk factors</w:t>
              </w:r>
            </w:hyperlink>
          </w:p>
        </w:tc>
        <w:tc>
          <w:tcPr>
            <w:tcW w:w="10120" w:type="dxa"/>
            <w:vAlign w:val="bottom"/>
            <w:gridSpan w:val="24"/>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2"/>
        </w:trPr>
        <w:tc>
          <w:tcPr>
            <w:tcW w:w="10980" w:type="dxa"/>
            <w:vAlign w:val="bottom"/>
            <w:gridSpan w:val="27"/>
          </w:tcPr>
          <w:p>
            <w:pPr>
              <w:spacing w:after="0" w:line="192" w:lineRule="exact"/>
              <w:rPr>
                <w:rFonts w:ascii="Arial" w:cs="Arial" w:eastAsia="Arial" w:hAnsi="Arial"/>
                <w:sz w:val="18"/>
                <w:szCs w:val="18"/>
                <w:color w:val="0000EE"/>
              </w:rPr>
            </w:pPr>
            <w:hyperlink w:anchor="page13">
              <w:r>
                <w:rPr>
                  <w:rFonts w:ascii="Arial" w:cs="Arial" w:eastAsia="Arial" w:hAnsi="Arial"/>
                  <w:sz w:val="18"/>
                  <w:szCs w:val="18"/>
                  <w:color w:val="0000EE"/>
                </w:rPr>
                <w:t>Note regarding forward-looking statements</w:t>
              </w:r>
            </w:hyperlink>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2"/>
        </w:trPr>
        <w:tc>
          <w:tcPr>
            <w:tcW w:w="3060" w:type="dxa"/>
            <w:vAlign w:val="bottom"/>
            <w:tcBorders>
              <w:top w:val="single" w:sz="8" w:color="0000EE"/>
            </w:tcBorders>
            <w:gridSpan w:val="23"/>
          </w:tcPr>
          <w:p>
            <w:pPr>
              <w:spacing w:after="0" w:line="192"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7920" w:type="dxa"/>
            <w:vAlign w:val="bottom"/>
            <w:gridSpan w:val="4"/>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80" w:type="dxa"/>
            <w:vAlign w:val="bottom"/>
            <w:tcBorders>
              <w:bottom w:val="single" w:sz="8" w:color="0000EE"/>
            </w:tcBorders>
            <w:gridSpan w:val="15"/>
          </w:tcPr>
          <w:p>
            <w:pPr>
              <w:spacing w:after="0" w:line="192"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Price range of common stock</w:t>
              </w:r>
            </w:hyperlink>
          </w:p>
        </w:tc>
        <w:tc>
          <w:tcPr>
            <w:tcW w:w="8900" w:type="dxa"/>
            <w:vAlign w:val="bottom"/>
            <w:gridSpan w:val="12"/>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2"/>
        </w:trPr>
        <w:tc>
          <w:tcPr>
            <w:tcW w:w="10980" w:type="dxa"/>
            <w:vAlign w:val="bottom"/>
            <w:gridSpan w:val="27"/>
          </w:tcPr>
          <w:p>
            <w:pPr>
              <w:spacing w:after="0" w:line="192" w:lineRule="exact"/>
              <w:rPr>
                <w:rFonts w:ascii="Arial" w:cs="Arial" w:eastAsia="Arial" w:hAnsi="Arial"/>
                <w:sz w:val="18"/>
                <w:szCs w:val="18"/>
                <w:color w:val="0000EE"/>
              </w:rPr>
            </w:pPr>
            <w:hyperlink w:anchor="page14">
              <w:r>
                <w:rPr>
                  <w:rFonts w:ascii="Arial" w:cs="Arial" w:eastAsia="Arial" w:hAnsi="Arial"/>
                  <w:sz w:val="18"/>
                  <w:szCs w:val="18"/>
                  <w:color w:val="0000EE"/>
                </w:rPr>
                <w:t>Dividend policy</w:t>
              </w:r>
            </w:hyperlink>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2"/>
        </w:trPr>
        <w:tc>
          <w:tcPr>
            <w:tcW w:w="60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Dilution</w:t>
              </w:r>
            </w:hyperlink>
          </w:p>
        </w:tc>
        <w:tc>
          <w:tcPr>
            <w:tcW w:w="540" w:type="dxa"/>
            <w:vAlign w:val="bottom"/>
            <w:tcBorders>
              <w:top w:val="single" w:sz="8" w:color="0000EE"/>
            </w:tcBorders>
            <w:gridSpan w:val="5"/>
          </w:tcPr>
          <w:p>
            <w:pPr>
              <w:spacing w:after="0"/>
              <w:rPr>
                <w:sz w:val="16"/>
                <w:szCs w:val="16"/>
                <w:color w:val="auto"/>
              </w:rPr>
            </w:pPr>
          </w:p>
        </w:tc>
        <w:tc>
          <w:tcPr>
            <w:tcW w:w="9840" w:type="dxa"/>
            <w:vAlign w:val="bottom"/>
            <w:gridSpan w:val="20"/>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2"/>
        </w:trPr>
        <w:tc>
          <w:tcPr>
            <w:tcW w:w="1740" w:type="dxa"/>
            <w:vAlign w:val="bottom"/>
            <w:tcBorders>
              <w:bottom w:val="single" w:sz="8" w:color="0000EE"/>
            </w:tcBorders>
            <w:gridSpan w:val="14"/>
          </w:tcPr>
          <w:p>
            <w:pPr>
              <w:spacing w:after="0" w:line="192"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Description of securities</w:t>
              </w:r>
            </w:hyperlink>
          </w:p>
        </w:tc>
        <w:tc>
          <w:tcPr>
            <w:tcW w:w="9240" w:type="dxa"/>
            <w:vAlign w:val="bottom"/>
            <w:gridSpan w:val="13"/>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0000EE"/>
            </w:tcBorders>
            <w:gridSpan w:val="9"/>
          </w:tcPr>
          <w:p>
            <w:pPr>
              <w:spacing w:after="0" w:line="192"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Plan of distribution</w:t>
              </w:r>
            </w:hyperlink>
          </w:p>
        </w:tc>
        <w:tc>
          <w:tcPr>
            <w:tcW w:w="9600" w:type="dxa"/>
            <w:vAlign w:val="bottom"/>
            <w:gridSpan w:val="18"/>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0000EE"/>
            </w:tcBorders>
            <w:gridSpan w:val="21"/>
          </w:tcPr>
          <w:p>
            <w:pPr>
              <w:spacing w:after="0" w:line="192"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Where you can find more information</w:t>
              </w:r>
            </w:hyperlink>
          </w:p>
        </w:tc>
        <w:tc>
          <w:tcPr>
            <w:tcW w:w="8280" w:type="dxa"/>
            <w:vAlign w:val="bottom"/>
            <w:gridSpan w:val="6"/>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0000EE"/>
            </w:tcBorders>
            <w:gridSpan w:val="25"/>
          </w:tcPr>
          <w:p>
            <w:pPr>
              <w:spacing w:after="0" w:line="192"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Incorporation of certain documents by reference</w:t>
              </w:r>
            </w:hyperlink>
          </w:p>
        </w:tc>
        <w:tc>
          <w:tcPr>
            <w:tcW w:w="7560" w:type="dxa"/>
            <w:vAlign w:val="bottom"/>
            <w:gridSpan w:val="2"/>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192"/>
        </w:trPr>
        <w:tc>
          <w:tcPr>
            <w:tcW w:w="980" w:type="dxa"/>
            <w:vAlign w:val="bottom"/>
            <w:tcBorders>
              <w:bottom w:val="single" w:sz="8" w:color="0000EE"/>
            </w:tcBorders>
            <w:gridSpan w:val="5"/>
          </w:tcPr>
          <w:p>
            <w:pPr>
              <w:spacing w:after="0" w:line="192"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Legal matters</w:t>
              </w:r>
            </w:hyperlink>
          </w:p>
        </w:tc>
        <w:tc>
          <w:tcPr>
            <w:tcW w:w="10000" w:type="dxa"/>
            <w:vAlign w:val="bottom"/>
            <w:gridSpan w:val="22"/>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4"/>
              </w:rPr>
              <w:t>S-18</w:t>
            </w:r>
          </w:p>
        </w:tc>
        <w:tc>
          <w:tcPr>
            <w:tcW w:w="0" w:type="dxa"/>
            <w:vAlign w:val="bottom"/>
          </w:tcPr>
          <w:p>
            <w:pPr>
              <w:spacing w:after="0"/>
              <w:rPr>
                <w:sz w:val="1"/>
                <w:szCs w:val="1"/>
                <w:color w:val="auto"/>
              </w:rPr>
            </w:pPr>
          </w:p>
        </w:tc>
      </w:tr>
      <w:tr>
        <w:trPr>
          <w:trHeight w:val="192"/>
        </w:trPr>
        <w:tc>
          <w:tcPr>
            <w:tcW w:w="10980" w:type="dxa"/>
            <w:vAlign w:val="bottom"/>
            <w:gridSpan w:val="27"/>
          </w:tcPr>
          <w:p>
            <w:pPr>
              <w:spacing w:after="0" w:line="192"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4"/>
              </w:rPr>
              <w:t>S-18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line="20" w:lineRule="exact"/>
              <w:rPr>
                <w:sz w:val="1"/>
                <w:szCs w:val="1"/>
                <w:color w:val="auto"/>
              </w:rPr>
            </w:pPr>
          </w:p>
        </w:tc>
      </w:tr>
      <w:tr>
        <w:trPr>
          <w:trHeight w:val="378"/>
        </w:trPr>
        <w:tc>
          <w:tcPr>
            <w:tcW w:w="1560" w:type="dxa"/>
            <w:vAlign w:val="bottom"/>
            <w:gridSpan w:val="11"/>
            <w:vMerge w:val="restart"/>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About this Prospectus</w:t>
              </w:r>
            </w:hyperlink>
          </w:p>
        </w:tc>
        <w:tc>
          <w:tcPr>
            <w:tcW w:w="9420" w:type="dxa"/>
            <w:vAlign w:val="bottom"/>
            <w:gridSpan w:val="16"/>
            <w:vMerge w:val="restart"/>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560" w:type="dxa"/>
            <w:vAlign w:val="bottom"/>
            <w:tcBorders>
              <w:bottom w:val="single" w:sz="8" w:color="0000EE"/>
            </w:tcBorders>
            <w:gridSpan w:val="11"/>
            <w:vMerge w:val="continue"/>
          </w:tcPr>
          <w:p>
            <w:pPr>
              <w:spacing w:after="0"/>
              <w:rPr>
                <w:sz w:val="14"/>
                <w:szCs w:val="14"/>
                <w:color w:val="auto"/>
              </w:rPr>
            </w:pPr>
          </w:p>
        </w:tc>
        <w:tc>
          <w:tcPr>
            <w:tcW w:w="9420" w:type="dxa"/>
            <w:vAlign w:val="bottom"/>
            <w:gridSpan w:val="16"/>
            <w:vMerge w:val="continue"/>
          </w:tcPr>
          <w:p>
            <w:pPr>
              <w:spacing w:after="0"/>
              <w:rPr>
                <w:sz w:val="14"/>
                <w:szCs w:val="14"/>
                <w:color w:val="auto"/>
              </w:rPr>
            </w:pPr>
          </w:p>
        </w:tc>
        <w:tc>
          <w:tcPr>
            <w:tcW w:w="38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0000EE"/>
            </w:tcBorders>
            <w:gridSpan w:val="12"/>
          </w:tcPr>
          <w:p>
            <w:pPr>
              <w:spacing w:after="0" w:line="192"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About StemCells, Inc.</w:t>
              </w:r>
            </w:hyperlink>
          </w:p>
        </w:tc>
        <w:tc>
          <w:tcPr>
            <w:tcW w:w="9400" w:type="dxa"/>
            <w:vAlign w:val="bottom"/>
            <w:gridSpan w:val="15"/>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2"/>
        </w:trPr>
        <w:tc>
          <w:tcPr>
            <w:tcW w:w="900" w:type="dxa"/>
            <w:vAlign w:val="bottom"/>
            <w:tcBorders>
              <w:bottom w:val="single" w:sz="8" w:color="0000EE"/>
            </w:tcBorders>
            <w:gridSpan w:val="4"/>
          </w:tcPr>
          <w:p>
            <w:pPr>
              <w:spacing w:after="0" w:line="192"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10080" w:type="dxa"/>
            <w:vAlign w:val="bottom"/>
            <w:gridSpan w:val="23"/>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0980" w:type="dxa"/>
            <w:vAlign w:val="bottom"/>
            <w:gridSpan w:val="27"/>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Note Regarding Forward-Looking Statements</w:t>
              </w:r>
            </w:hyperlink>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top w:val="single" w:sz="8" w:color="0000EE"/>
              <w:bottom w:val="single" w:sz="8" w:color="0000EE"/>
            </w:tcBorders>
            <w:gridSpan w:val="8"/>
          </w:tcPr>
          <w:p>
            <w:pPr>
              <w:spacing w:after="0" w:line="192"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Use of Proceeds</w:t>
              </w:r>
            </w:hyperlink>
          </w:p>
        </w:tc>
        <w:tc>
          <w:tcPr>
            <w:tcW w:w="2080" w:type="dxa"/>
            <w:vAlign w:val="bottom"/>
            <w:tcBorders>
              <w:top w:val="single" w:sz="8" w:color="0000EE"/>
            </w:tcBorders>
            <w:gridSpan w:val="16"/>
          </w:tcPr>
          <w:p>
            <w:pPr>
              <w:spacing w:after="0"/>
              <w:rPr>
                <w:sz w:val="16"/>
                <w:szCs w:val="16"/>
                <w:color w:val="auto"/>
              </w:rPr>
            </w:pPr>
          </w:p>
        </w:tc>
        <w:tc>
          <w:tcPr>
            <w:tcW w:w="7740" w:type="dxa"/>
            <w:vAlign w:val="bottom"/>
            <w:gridSpan w:val="3"/>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10980" w:type="dxa"/>
            <w:vAlign w:val="bottom"/>
            <w:gridSpan w:val="27"/>
          </w:tcPr>
          <w:p>
            <w:pPr>
              <w:spacing w:after="0" w:line="192"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1420" w:type="dxa"/>
            <w:vAlign w:val="bottom"/>
            <w:tcBorders>
              <w:top w:val="single" w:sz="8" w:color="0000EE"/>
              <w:bottom w:val="single" w:sz="8" w:color="0000EE"/>
            </w:tcBorders>
            <w:gridSpan w:val="10"/>
          </w:tcPr>
          <w:p>
            <w:pPr>
              <w:spacing w:after="0" w:line="192"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Plan of Distribution</w:t>
              </w:r>
            </w:hyperlink>
          </w:p>
        </w:tc>
        <w:tc>
          <w:tcPr>
            <w:tcW w:w="1080" w:type="dxa"/>
            <w:vAlign w:val="bottom"/>
            <w:tcBorders>
              <w:top w:val="single" w:sz="8" w:color="0000EE"/>
            </w:tcBorders>
            <w:gridSpan w:val="10"/>
          </w:tcPr>
          <w:p>
            <w:pPr>
              <w:spacing w:after="0"/>
              <w:rPr>
                <w:sz w:val="16"/>
                <w:szCs w:val="16"/>
                <w:color w:val="auto"/>
              </w:rPr>
            </w:pPr>
          </w:p>
        </w:tc>
        <w:tc>
          <w:tcPr>
            <w:tcW w:w="8480" w:type="dxa"/>
            <w:vAlign w:val="bottom"/>
            <w:gridSpan w:val="7"/>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0000EE"/>
            </w:tcBorders>
            <w:gridSpan w:val="18"/>
          </w:tcPr>
          <w:p>
            <w:pPr>
              <w:spacing w:after="0" w:line="192"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Description of Common Stock</w:t>
              </w:r>
            </w:hyperlink>
          </w:p>
        </w:tc>
        <w:tc>
          <w:tcPr>
            <w:tcW w:w="8780" w:type="dxa"/>
            <w:vAlign w:val="bottom"/>
            <w:gridSpan w:val="9"/>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0000EE"/>
            </w:tcBorders>
            <w:gridSpan w:val="17"/>
          </w:tcPr>
          <w:p>
            <w:pPr>
              <w:spacing w:after="0" w:line="19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Description of Preferred Stock</w:t>
              </w:r>
            </w:hyperlink>
          </w:p>
        </w:tc>
        <w:tc>
          <w:tcPr>
            <w:tcW w:w="8800" w:type="dxa"/>
            <w:vAlign w:val="bottom"/>
            <w:gridSpan w:val="10"/>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0000EE"/>
            </w:tcBorders>
            <w:gridSpan w:val="13"/>
          </w:tcPr>
          <w:p>
            <w:pPr>
              <w:spacing w:after="0" w:line="19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Description of Warrants</w:t>
              </w:r>
            </w:hyperlink>
          </w:p>
        </w:tc>
        <w:tc>
          <w:tcPr>
            <w:tcW w:w="9280" w:type="dxa"/>
            <w:vAlign w:val="bottom"/>
            <w:gridSpan w:val="14"/>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0000EE"/>
            </w:tcBorders>
            <w:gridSpan w:val="16"/>
          </w:tcPr>
          <w:p>
            <w:pPr>
              <w:spacing w:after="0" w:line="192"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Description of Debt Securities</w:t>
              </w:r>
            </w:hyperlink>
          </w:p>
        </w:tc>
        <w:tc>
          <w:tcPr>
            <w:tcW w:w="8820" w:type="dxa"/>
            <w:vAlign w:val="bottom"/>
            <w:gridSpan w:val="11"/>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0000EE"/>
            </w:tcBorders>
            <w:gridSpan w:val="22"/>
          </w:tcPr>
          <w:p>
            <w:pPr>
              <w:spacing w:after="0" w:line="192"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Where You Can Find More Information</w:t>
              </w:r>
            </w:hyperlink>
          </w:p>
        </w:tc>
        <w:tc>
          <w:tcPr>
            <w:tcW w:w="8160" w:type="dxa"/>
            <w:vAlign w:val="bottom"/>
            <w:gridSpan w:val="5"/>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0000EE"/>
            </w:tcBorders>
            <w:gridSpan w:val="26"/>
          </w:tcPr>
          <w:p>
            <w:pPr>
              <w:spacing w:after="0" w:line="19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Incorporation of Certain Documents by Reference</w:t>
              </w:r>
            </w:hyperlink>
          </w:p>
        </w:tc>
        <w:tc>
          <w:tcPr>
            <w:tcW w:w="7420" w:type="dxa"/>
            <w:vAlign w:val="bottom"/>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0000EE"/>
            </w:tcBorders>
            <w:gridSpan w:val="6"/>
          </w:tcPr>
          <w:p>
            <w:pPr>
              <w:spacing w:after="0" w:line="19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Legal Matters</w:t>
              </w:r>
            </w:hyperlink>
          </w:p>
        </w:tc>
        <w:tc>
          <w:tcPr>
            <w:tcW w:w="9980" w:type="dxa"/>
            <w:vAlign w:val="bottom"/>
            <w:gridSpan w:val="21"/>
          </w:tcPr>
          <w:p>
            <w:pPr>
              <w:spacing w:after="0"/>
              <w:rPr>
                <w:sz w:val="16"/>
                <w:szCs w:val="16"/>
                <w:color w:val="auto"/>
              </w:rPr>
            </w:pPr>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2"/>
        </w:trPr>
        <w:tc>
          <w:tcPr>
            <w:tcW w:w="10980" w:type="dxa"/>
            <w:vAlign w:val="bottom"/>
            <w:gridSpan w:val="27"/>
          </w:tcPr>
          <w:p>
            <w:pPr>
              <w:spacing w:after="0" w:line="192" w:lineRule="exact"/>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4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requires otherwise, the words “StemCells,” “we,” “company,” “us” and “our” refer to StemCells, Inc. and our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17"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Prospectus supplement summary</w:t>
      </w:r>
    </w:p>
    <w:p>
      <w:pPr>
        <w:spacing w:after="0" w:line="111"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i w:val="1"/>
          <w:iCs w:val="1"/>
          <w:color w:val="auto"/>
        </w:rPr>
        <w:t>This summary highlights selected information appearing elsewhere or incorporated by reference in this prospectus supplement and accompanying prospectus and may not contain all of the information that is important to you. This prospectus supplement and the accompanying prospectus include or incorporate by reference information about the shares we are offering as well as information regarding our business and detailed financial data. You should read this prospectus supplement and the accompanying prospectus in their entirety, including the information incorporated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We are engaged in the discovery and development of cell-based therapeutics to treat damage to, or degeneration of, major organ systems. Our research and development (R&amp;D) programs are focused on identifying and developing potential cell-based therapeutics which can either restore or support organ function. Since we relocated our corporate headquarters and research laboratories to California in 1999, our R&amp;D efforts have primarily been directed at refining our methods for identifying, isolating, culturing, and purifying the human neural stem cell (our HuCNS-SC</w:t>
      </w:r>
      <w:r>
        <w:rPr>
          <w:rFonts w:ascii="Arial" w:cs="Arial" w:eastAsia="Arial" w:hAnsi="Arial"/>
          <w:sz w:val="13"/>
          <w:szCs w:val="13"/>
          <w:color w:val="auto"/>
        </w:rPr>
        <w:t>®</w:t>
      </w:r>
      <w:r>
        <w:rPr>
          <w:rFonts w:ascii="Arial" w:cs="Arial" w:eastAsia="Arial" w:hAnsi="Arial"/>
          <w:sz w:val="15"/>
          <w:szCs w:val="15"/>
          <w:color w:val="auto"/>
        </w:rPr>
        <w:t xml:space="preserve"> cell population) and the human liver engrafting cells (our hLEC cell population) and developing these as potential cell-based therapeutics for the central nervous system (CNS) and the liver, respectively. In our CNS Program, we are in clinical development with our HuCNS-SC product candidate. We have completed enrollment and dosing in a six-patient Phase I clinical trial of HuCNS-SC cells as an investigative treatment for infantile and late infantile neuronal ceroid lipofuscinosis (NCL), a fatal neurodegenerative disease often referred to as Batten disease. We expect this trial to be completed in January 2009. We are also continuing research and preclinical development work for the use of neural stem cells to treat other indications in the CNS field; and our goal is to initiate clinical trials of HuCNS-SC for a spinal cord indication, a myelin disorder in the brain, and a degenerative retinal disorder. In our Liver Program, we are in preclinical development with our human liver engrafting cells and are exploring their applicability as a cellular therapy to restore function to liver tissue by replacing dysfunctional or damaged cells. Our goal is to initiate a clinical study of our hLEC cells with the first indication anticipated to be a liver-based metabolic disorder. For a brief description of our significant research and development programs see Overview “Research and Development Programs” in the Business Section of Part I, Item 1 included in our Annual Report on Form 10-K for the fiscal year ended December 31, 2007. We have also conducted research on several other cell types and in other areas, which could lead to other possible product candidates, process improvements or further research activities.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We were incorporated in Delaware. Our principal executive offices are located at 3155 Porter Drive, Palo Alto, California 94304, and our telephone number is</w:t>
      </w:r>
    </w:p>
    <w:p>
      <w:pPr>
        <w:spacing w:after="0" w:line="51" w:lineRule="exact"/>
        <w:rPr>
          <w:sz w:val="20"/>
          <w:szCs w:val="20"/>
          <w:color w:val="auto"/>
        </w:rPr>
      </w:pPr>
    </w:p>
    <w:p>
      <w:pPr>
        <w:ind w:right="140" w:firstLine="6"/>
        <w:spacing w:after="0" w:line="248" w:lineRule="auto"/>
        <w:tabs>
          <w:tab w:leader="none" w:pos="427" w:val="left"/>
        </w:tabs>
        <w:numPr>
          <w:ilvl w:val="0"/>
          <w:numId w:val="1"/>
        </w:numPr>
        <w:rPr>
          <w:rFonts w:ascii="Arial" w:cs="Arial" w:eastAsia="Arial" w:hAnsi="Arial"/>
          <w:sz w:val="18"/>
          <w:szCs w:val="18"/>
          <w:color w:val="auto"/>
        </w:rPr>
      </w:pPr>
      <w:r>
        <w:rPr>
          <w:rFonts w:ascii="Arial" w:cs="Arial" w:eastAsia="Arial" w:hAnsi="Arial"/>
          <w:sz w:val="18"/>
          <w:szCs w:val="18"/>
          <w:color w:val="auto"/>
        </w:rPr>
        <w:t>475-3100. Our website is located at www.stemcellsinc.com. We have not incorporated by reference into this prospectus supplement or the accompanying prospectus the information in, or that can be accessed through, our website, and you should not consider it to be a part of this prospectus supplement or the accompanying prospectus.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313295" cy="5300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295" cy="530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offering</w:t>
      </w:r>
    </w:p>
    <w:p>
      <w:pPr>
        <w:sectPr>
          <w:pgSz w:w="11900" w:h="16838" w:orient="portrait"/>
          <w:cols w:equalWidth="0" w:num="1">
            <w:col w:w="11520"/>
          </w:cols>
          <w:pgMar w:left="240" w:top="413" w:right="1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Common stock we are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13,793,104 shares</w:t>
      </w:r>
    </w:p>
    <w:p>
      <w:pPr>
        <w:spacing w:after="0" w:line="200" w:lineRule="exact"/>
        <w:rPr>
          <w:sz w:val="20"/>
          <w:szCs w:val="20"/>
          <w:color w:val="auto"/>
        </w:rPr>
      </w:pPr>
    </w:p>
    <w:p>
      <w:pPr>
        <w:sectPr>
          <w:pgSz w:w="11900" w:h="16838" w:orient="portrait"/>
          <w:cols w:equalWidth="0" w:num="2">
            <w:col w:w="5260" w:space="720"/>
            <w:col w:w="5540"/>
          </w:cols>
          <w:pgMar w:left="240" w:top="413" w:right="139" w:bottom="1440" w:gutter="0" w:footer="0" w:header="0"/>
          <w:type w:val="continuous"/>
        </w:sectPr>
      </w:pPr>
    </w:p>
    <w:p>
      <w:pPr>
        <w:spacing w:after="0" w:line="5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94,938,603 shares</w:t>
      </w:r>
    </w:p>
    <w:p>
      <w:pPr>
        <w:spacing w:after="0" w:line="200" w:lineRule="exact"/>
        <w:rPr>
          <w:sz w:val="20"/>
          <w:szCs w:val="20"/>
          <w:color w:val="auto"/>
        </w:rPr>
      </w:pPr>
    </w:p>
    <w:p>
      <w:pPr>
        <w:sectPr>
          <w:pgSz w:w="11900" w:h="16838" w:orient="portrait"/>
          <w:cols w:equalWidth="0" w:num="2">
            <w:col w:w="5260" w:space="720"/>
            <w:col w:w="5540"/>
          </w:cols>
          <w:pgMar w:left="240" w:top="413" w:right="139" w:bottom="1440" w:gutter="0" w:footer="0" w:header="0"/>
          <w:type w:val="continuous"/>
        </w:sectPr>
      </w:pPr>
    </w:p>
    <w:p>
      <w:pPr>
        <w:spacing w:after="0" w:line="5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Warrants we are offering</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Warrants to purchase 10,344,828 shares of common stock will be offered in this offering. The warrants will be exercisable during the period commencing six months after the date of original issuance and ending five years from the date the warrants become exercisable at an exercise price of $2.30 per share of common stock. This prospectus supplement also relates to the offering of the shares of common stock issuable upon exercise of the warrants.</w:t>
      </w:r>
    </w:p>
    <w:p>
      <w:pPr>
        <w:spacing w:after="0" w:line="153" w:lineRule="exact"/>
        <w:rPr>
          <w:sz w:val="20"/>
          <w:szCs w:val="20"/>
          <w:color w:val="auto"/>
        </w:rPr>
      </w:pPr>
    </w:p>
    <w:p>
      <w:pPr>
        <w:sectPr>
          <w:pgSz w:w="11900" w:h="16838" w:orient="portrait"/>
          <w:cols w:equalWidth="0" w:num="2">
            <w:col w:w="5260" w:space="720"/>
            <w:col w:w="5540"/>
          </w:cols>
          <w:pgMar w:left="240" w:top="413" w:right="139" w:bottom="1440" w:gutter="0" w:footer="0" w:header="0"/>
          <w:type w:val="continuous"/>
        </w:sectPr>
      </w:pPr>
    </w:p>
    <w:p>
      <w:pPr>
        <w:ind w:left="16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Arial" w:cs="Arial" w:eastAsia="Arial" w:hAnsi="Arial"/>
          <w:sz w:val="18"/>
          <w:szCs w:val="18"/>
          <w:color w:val="auto"/>
        </w:rPr>
        <w:t>We intend to use the net proceeds of this offering for general corporate purposes, including working capital, product development and capital expenditures, as well as acquisitions and other strategic purposes. See “Use of proceeds.”</w:t>
      </w:r>
    </w:p>
    <w:p>
      <w:pPr>
        <w:spacing w:after="0" w:line="191" w:lineRule="exact"/>
        <w:rPr>
          <w:sz w:val="20"/>
          <w:szCs w:val="20"/>
          <w:color w:val="auto"/>
        </w:rPr>
      </w:pPr>
    </w:p>
    <w:p>
      <w:pPr>
        <w:sectPr>
          <w:pgSz w:w="11900" w:h="16838" w:orient="portrait"/>
          <w:cols w:equalWidth="0" w:num="2">
            <w:col w:w="5260" w:space="720"/>
            <w:col w:w="5540"/>
          </w:cols>
          <w:pgMar w:left="240" w:top="413" w:right="139" w:bottom="1440" w:gutter="0" w:footer="0" w:header="0"/>
          <w:type w:val="continuous"/>
        </w:sectPr>
      </w:pPr>
    </w:p>
    <w:p>
      <w:pPr>
        <w:ind w:left="160"/>
        <w:spacing w:after="0"/>
        <w:rPr>
          <w:sz w:val="20"/>
          <w:szCs w:val="20"/>
          <w:color w:val="auto"/>
        </w:rPr>
      </w:pPr>
      <w:r>
        <w:rPr>
          <w:rFonts w:ascii="Arial" w:cs="Arial" w:eastAsia="Arial" w:hAnsi="Arial"/>
          <w:sz w:val="15"/>
          <w:szCs w:val="15"/>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STEM</w:t>
      </w:r>
    </w:p>
    <w:p>
      <w:pPr>
        <w:spacing w:after="0" w:line="123" w:lineRule="exact"/>
        <w:rPr>
          <w:sz w:val="20"/>
          <w:szCs w:val="20"/>
          <w:color w:val="auto"/>
        </w:rPr>
      </w:pPr>
    </w:p>
    <w:p>
      <w:pPr>
        <w:sectPr>
          <w:pgSz w:w="11900" w:h="16838" w:orient="portrait"/>
          <w:cols w:equalWidth="0" w:num="2">
            <w:col w:w="5260" w:space="720"/>
            <w:col w:w="5540"/>
          </w:cols>
          <w:pgMar w:left="240" w:top="413" w:right="139" w:bottom="1440" w:gutter="0" w:footer="0" w:header="0"/>
          <w:type w:val="continuous"/>
        </w:sectPr>
      </w:pPr>
    </w:p>
    <w:p>
      <w:pPr>
        <w:ind w:left="160" w:right="320"/>
        <w:spacing w:after="0" w:line="265"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the 81,145,499 shares outstanding as of November 11, 2008 and excludes:</w:t>
      </w:r>
    </w:p>
    <w:p>
      <w:pPr>
        <w:spacing w:after="0" w:line="73" w:lineRule="exact"/>
        <w:rPr>
          <w:sz w:val="20"/>
          <w:szCs w:val="20"/>
          <w:color w:val="auto"/>
        </w:rPr>
      </w:pPr>
    </w:p>
    <w:p>
      <w:pPr>
        <w:ind w:left="1060" w:right="140" w:hanging="444"/>
        <w:spacing w:after="0" w:line="265" w:lineRule="auto"/>
        <w:tabs>
          <w:tab w:leader="none" w:pos="10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8,471,887 shares of our common stock subject to options outstanding as of September 30, 2008 having a weighted average exercise price of $2.33 per share;</w:t>
      </w:r>
    </w:p>
    <w:p>
      <w:pPr>
        <w:spacing w:after="0" w:line="86" w:lineRule="exact"/>
        <w:rPr>
          <w:rFonts w:ascii="Arial" w:cs="Arial" w:eastAsia="Arial" w:hAnsi="Arial"/>
          <w:sz w:val="18"/>
          <w:szCs w:val="18"/>
          <w:b w:val="1"/>
          <w:bCs w:val="1"/>
          <w:color w:val="auto"/>
        </w:rPr>
      </w:pPr>
    </w:p>
    <w:p>
      <w:pPr>
        <w:ind w:left="1060" w:right="100" w:hanging="444"/>
        <w:spacing w:after="0" w:line="265" w:lineRule="auto"/>
        <w:tabs>
          <w:tab w:leader="none" w:pos="10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1,650,000 shares of our common stock subject to outstanding restricted stock units as of September 30, 2008 having a weighted average grant date fair value of $1.26;</w:t>
      </w:r>
    </w:p>
    <w:p>
      <w:pPr>
        <w:spacing w:after="0" w:line="86" w:lineRule="exact"/>
        <w:rPr>
          <w:rFonts w:ascii="Arial" w:cs="Arial" w:eastAsia="Arial" w:hAnsi="Arial"/>
          <w:sz w:val="18"/>
          <w:szCs w:val="18"/>
          <w:b w:val="1"/>
          <w:bCs w:val="1"/>
          <w:color w:val="auto"/>
        </w:rPr>
      </w:pPr>
    </w:p>
    <w:p>
      <w:pPr>
        <w:ind w:left="1060" w:right="20" w:hanging="444"/>
        <w:spacing w:after="0" w:line="265" w:lineRule="auto"/>
        <w:tabs>
          <w:tab w:leader="none" w:pos="10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1,430,849 shares of our common stock subject to outstanding stock appreciation rights as of September 30, 2008 having a weighted average exercis price of $2.00;</w:t>
      </w:r>
    </w:p>
    <w:p>
      <w:pPr>
        <w:spacing w:after="0" w:line="86" w:lineRule="exact"/>
        <w:rPr>
          <w:rFonts w:ascii="Arial" w:cs="Arial" w:eastAsia="Arial" w:hAnsi="Arial"/>
          <w:sz w:val="18"/>
          <w:szCs w:val="18"/>
          <w:b w:val="1"/>
          <w:bCs w:val="1"/>
          <w:color w:val="auto"/>
        </w:rPr>
      </w:pPr>
    </w:p>
    <w:p>
      <w:pPr>
        <w:ind w:left="1060" w:right="380" w:hanging="444"/>
        <w:spacing w:after="0" w:line="265" w:lineRule="auto"/>
        <w:tabs>
          <w:tab w:leader="none" w:pos="10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4,624,826 shares of our common stock that have been reserved for issuance in connection with future grants under our stock option plans as of September 30, 2008;</w:t>
      </w:r>
    </w:p>
    <w:p>
      <w:pPr>
        <w:spacing w:after="0" w:line="86" w:lineRule="exact"/>
        <w:rPr>
          <w:rFonts w:ascii="Arial" w:cs="Arial" w:eastAsia="Arial" w:hAnsi="Arial"/>
          <w:sz w:val="18"/>
          <w:szCs w:val="18"/>
          <w:b w:val="1"/>
          <w:bCs w:val="1"/>
          <w:color w:val="auto"/>
        </w:rPr>
      </w:pPr>
    </w:p>
    <w:p>
      <w:pPr>
        <w:ind w:left="1060" w:right="20" w:hanging="444"/>
        <w:spacing w:after="0" w:line="265" w:lineRule="auto"/>
        <w:tabs>
          <w:tab w:leader="none" w:pos="10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1,255,000 shares of our common stock that have been reserved for issuance upon exercise of outstanding warrants as of September 30, 2008 having a weighted average exercise price of $1.90 per share; and</w:t>
      </w:r>
    </w:p>
    <w:p>
      <w:pPr>
        <w:spacing w:after="0" w:line="86" w:lineRule="exact"/>
        <w:rPr>
          <w:rFonts w:ascii="Arial" w:cs="Arial" w:eastAsia="Arial" w:hAnsi="Arial"/>
          <w:sz w:val="18"/>
          <w:szCs w:val="18"/>
          <w:b w:val="1"/>
          <w:bCs w:val="1"/>
          <w:color w:val="auto"/>
        </w:rPr>
      </w:pPr>
    </w:p>
    <w:p>
      <w:pPr>
        <w:ind w:left="1060" w:hanging="444"/>
        <w:spacing w:after="0"/>
        <w:tabs>
          <w:tab w:leader="none" w:pos="10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shares of common stock issuable upon the exercise of warrants offered hereby.</w:t>
      </w:r>
    </w:p>
    <w:p>
      <w:pPr>
        <w:spacing w:after="0" w:line="3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111"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i w:val="1"/>
          <w:iCs w:val="1"/>
          <w:color w:val="auto"/>
        </w:rPr>
        <w:t>Investing in our common stock and warrants involves a high degree of risk. In addition to the risks related to our business set forth in the accompanying prospectus and the other information included and incorporated by reference in this prospectus supplement and accompanying prospectus, you should carefully consider the risks described below before purchasing our common stock. If any of the following risks actually occurs, our business, results of operations and financial condition will likely suffer. As a result, the trading price of our common stock may decline, and you might lose part or all of your investment.</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Any adverse development relating to our HuCNS-SC product candidate, such as a significant clinical trial failure, could substantially depress our stock price and prevent us from raising additional capital.</w:t>
      </w:r>
    </w:p>
    <w:p>
      <w:pPr>
        <w:spacing w:after="0" w:line="73" w:lineRule="exact"/>
        <w:rPr>
          <w:sz w:val="20"/>
          <w:szCs w:val="20"/>
          <w:color w:val="auto"/>
        </w:rPr>
      </w:pPr>
    </w:p>
    <w:p>
      <w:pPr>
        <w:ind w:right="40" w:firstLine="211"/>
        <w:spacing w:after="0" w:line="265" w:lineRule="auto"/>
        <w:rPr>
          <w:sz w:val="20"/>
          <w:szCs w:val="20"/>
          <w:color w:val="auto"/>
        </w:rPr>
      </w:pPr>
      <w:r>
        <w:rPr>
          <w:rFonts w:ascii="Arial" w:cs="Arial" w:eastAsia="Arial" w:hAnsi="Arial"/>
          <w:sz w:val="17"/>
          <w:szCs w:val="17"/>
          <w:color w:val="auto"/>
        </w:rPr>
        <w:t>At present our ability to progress as a company is significantly dependent on a single product candidate, our HuCNS-SC cells (purified human neural stem cells), and on a single early stage clinical trial, our Phase I clinical trial for neuronal ceroid lipofuscinosis (NCL, also often referred to as Batten disease). Any clinical, regulatory or other development that significantly delays or prevents us from completing this trial, any material safety issue or adverse side effect to any study participant in this trial, or the failure of this trial to show the results expected would likely depress our stock price significantly and could prevent us from raising the substantial additional capital we will need to further develop our cellular technologies. Moreover, any material adverse occurrence in our first clinical trial for Batten disease could substantially impair our ability to initiate clinical trials to test our HuCNS-SC cells in patients with spinal cord injuries, myelin disorders or other potential indications. This, in turn, could adversely impact our ability to raise additional capital and pursue our planned research and development efforts in both our CNS and liver programs.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capital resources and we may not obtain the significant additional capital needed to sustain our research and development efforts.</w:t>
      </w:r>
    </w:p>
    <w:p>
      <w:pPr>
        <w:spacing w:after="0" w:line="146" w:lineRule="exact"/>
        <w:rPr>
          <w:sz w:val="20"/>
          <w:szCs w:val="20"/>
          <w:color w:val="auto"/>
        </w:rPr>
      </w:pPr>
    </w:p>
    <w:p>
      <w:pPr>
        <w:ind w:firstLine="218"/>
        <w:spacing w:after="0" w:line="267" w:lineRule="auto"/>
        <w:rPr>
          <w:sz w:val="20"/>
          <w:szCs w:val="20"/>
          <w:color w:val="auto"/>
        </w:rPr>
      </w:pPr>
      <w:r>
        <w:rPr>
          <w:rFonts w:ascii="Arial" w:cs="Arial" w:eastAsia="Arial" w:hAnsi="Arial"/>
          <w:sz w:val="17"/>
          <w:szCs w:val="17"/>
          <w:color w:val="auto"/>
        </w:rPr>
        <w:t>We have limited liquidity and capital resources and must obtain significant additional capital resources in order to sustain our product development efforts, acquire businesses, technologies and intellectual property rights which may be important to our business, continue preclinical and clinical testing of our investigative products, pursue regulatory approvals, acquire capital equipment, laboratory and office facilities, establish production capabilities, maintain and enforce our intellectual property portfolio, and support our general and administrative expenses and other working capital requirements. We rely on cash reserves and proceeds from equity and debt offerings, proceeds from the transfer, license, lease, or sale of our intellectual property rights, equipment, facilities, or investments, and government grants and funding from collaborative arrangements, if obtainable, to fund our operations.</w:t>
      </w:r>
    </w:p>
    <w:p>
      <w:pPr>
        <w:spacing w:after="0" w:line="74" w:lineRule="exact"/>
        <w:rPr>
          <w:sz w:val="20"/>
          <w:szCs w:val="20"/>
          <w:color w:val="auto"/>
        </w:rPr>
      </w:pPr>
    </w:p>
    <w:p>
      <w:pPr>
        <w:ind w:right="20" w:firstLine="218"/>
        <w:spacing w:after="0" w:line="248" w:lineRule="auto"/>
        <w:rPr>
          <w:sz w:val="20"/>
          <w:szCs w:val="20"/>
          <w:color w:val="auto"/>
        </w:rPr>
      </w:pPr>
      <w:r>
        <w:rPr>
          <w:rFonts w:ascii="Arial" w:cs="Arial" w:eastAsia="Arial" w:hAnsi="Arial"/>
          <w:sz w:val="18"/>
          <w:szCs w:val="18"/>
          <w:color w:val="auto"/>
        </w:rPr>
        <w:t>We intend to pursue opportunities for additional fundraising in the future through equity or debt financings, corporate alliances or combinations, grants or collaborative research arrangements, or any combination of these. However, external financing in the current financial environment may be particularly difficult, and the source, timing and availability of any future fundraising will depend principally upon market conditions, interest rates and, more specifically, on progress in our research, preclinical and clinical development programs. Funding may not be available when needed — at all or on terms acceptable to us. While we actively manage our programs and resources in order to conserve cash between fundraising opportunities, we believe we will need to secure additional capital in order to conduct our operations beyond 2009. If we exhaust our cash reserves and are unable to realize adequate additional fundraising, we may be unable to meet operating obligations and be required to initiate bankruptcy proceedings or delay, scale back or eliminate some or all of our research and product development programs.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development programs are based on novel technologies and are inherently risky.</w:t>
      </w:r>
    </w:p>
    <w:p>
      <w:pPr>
        <w:spacing w:after="0" w:line="111" w:lineRule="exact"/>
        <w:rPr>
          <w:sz w:val="20"/>
          <w:szCs w:val="20"/>
          <w:color w:val="auto"/>
        </w:rPr>
      </w:pPr>
    </w:p>
    <w:p>
      <w:pPr>
        <w:ind w:right="120" w:firstLine="218"/>
        <w:spacing w:after="0" w:line="318" w:lineRule="auto"/>
        <w:rPr>
          <w:sz w:val="20"/>
          <w:szCs w:val="20"/>
          <w:color w:val="auto"/>
        </w:rPr>
      </w:pPr>
      <w:r>
        <w:rPr>
          <w:rFonts w:ascii="Arial" w:cs="Arial" w:eastAsia="Arial" w:hAnsi="Arial"/>
          <w:sz w:val="15"/>
          <w:szCs w:val="15"/>
          <w:color w:val="auto"/>
        </w:rPr>
        <w:t>We are subject to the risks of failure inherent in the development of products based on new technologies. The novel nature of these therapies creates significant challenges in regard to product development and optimization, manufacturing, government regulation, third party reimbursement, and market acceptance. For example, the pathway to regulatory approval for cell-based therapies, including our product candidates, may be more complex and lengthy than the pathway for conventional drugs. These challenges may prevent us from developing and commercializing products on a timely or profitable basis or at all.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technology is at an early stage of discovery and development, and we may fail to develop any commercially acceptable or profitable products.</w:t>
      </w:r>
    </w:p>
    <w:p>
      <w:pPr>
        <w:spacing w:after="0" w:line="146" w:lineRule="exact"/>
        <w:rPr>
          <w:sz w:val="20"/>
          <w:szCs w:val="20"/>
          <w:color w:val="auto"/>
        </w:rPr>
      </w:pPr>
    </w:p>
    <w:p>
      <w:pPr>
        <w:ind w:right="300" w:firstLine="218"/>
        <w:spacing w:after="0" w:line="252"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 to achieve or sustain profitability in the future. We have yet to develop any products that have been approved for marketing, and we do not expect to become profitable within the next several years, but rather expect to incur additional and increasing operating losses. Before commercializing any medical product, we will need to obtain regulatory approval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100"/>
        <w:spacing w:after="0" w:line="330" w:lineRule="auto"/>
        <w:rPr>
          <w:sz w:val="20"/>
          <w:szCs w:val="20"/>
          <w:color w:val="auto"/>
        </w:rPr>
      </w:pPr>
      <w:r>
        <w:rPr>
          <w:rFonts w:ascii="Arial" w:cs="Arial" w:eastAsia="Arial" w:hAnsi="Arial"/>
          <w:sz w:val="15"/>
          <w:szCs w:val="15"/>
          <w:color w:val="auto"/>
        </w:rPr>
        <w:t>from the FDA or from equivalent foreign agencies after conducting extensive preclinical studies and clinical trials that demonstrate that the product candidate is safe and effective. Except for the NCL trial currently being conducted at Oregon Health &amp; Science University (OHSU), we have had no experience conducting human clinical trials. We expect that none of our cell-based therapeutic product candidates will be commercially available for several years, if at all.</w:t>
      </w:r>
    </w:p>
    <w:p>
      <w:pPr>
        <w:spacing w:after="0" w:line="31" w:lineRule="exact"/>
        <w:rPr>
          <w:sz w:val="20"/>
          <w:szCs w:val="20"/>
          <w:color w:val="auto"/>
        </w:rPr>
      </w:pPr>
    </w:p>
    <w:p>
      <w:pPr>
        <w:ind w:right="300" w:firstLine="218"/>
        <w:spacing w:after="0" w:line="252" w:lineRule="auto"/>
        <w:rPr>
          <w:sz w:val="20"/>
          <w:szCs w:val="20"/>
          <w:color w:val="auto"/>
        </w:rPr>
      </w:pPr>
      <w:r>
        <w:rPr>
          <w:rFonts w:ascii="Arial" w:cs="Arial" w:eastAsia="Arial" w:hAnsi="Arial"/>
          <w:sz w:val="18"/>
          <w:szCs w:val="18"/>
          <w:color w:val="auto"/>
        </w:rPr>
        <w:t>While the FDA has permitted us to initiate our Phase I clinical trial of our proprietary HuCNS-SC product candidate in NCL, and the Institutional Review Board of OHSU has approved the protocol and we have completed dosing the six patients planned for the trial, there can be no assurance that the trial will be completed or result in a successful outcome. We may elect to delay or discontinue other studies or clinical trials based on unfavorable results. Any product developed from, or based on, cellular technologies may fail to:</w:t>
      </w:r>
    </w:p>
    <w:p>
      <w:pPr>
        <w:spacing w:after="0" w:line="85" w:lineRule="exact"/>
        <w:rPr>
          <w:sz w:val="20"/>
          <w:szCs w:val="20"/>
          <w:color w:val="auto"/>
        </w:rPr>
      </w:pPr>
    </w:p>
    <w:p>
      <w:pPr>
        <w:ind w:left="220" w:hanging="214"/>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survive and persist in the desired location;</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provide the intended therapeutic benefit;</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engraft into existing tissue in the desired manner; or</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1" w:lineRule="exact"/>
        <w:rPr>
          <w:sz w:val="20"/>
          <w:szCs w:val="20"/>
          <w:color w:val="auto"/>
        </w:rPr>
      </w:pPr>
    </w:p>
    <w:p>
      <w:pPr>
        <w:ind w:right="480" w:firstLine="221"/>
        <w:spacing w:after="0" w:line="265" w:lineRule="auto"/>
        <w:rPr>
          <w:sz w:val="20"/>
          <w:szCs w:val="20"/>
          <w:color w:val="auto"/>
        </w:rPr>
      </w:pPr>
      <w:r>
        <w:rPr>
          <w:rFonts w:ascii="Arial" w:cs="Arial" w:eastAsia="Arial" w:hAnsi="Arial"/>
          <w:sz w:val="18"/>
          <w:szCs w:val="18"/>
          <w:color w:val="auto"/>
        </w:rPr>
        <w:t>In addition, our products may cause undesirable side effects. Results of preclinical research in animals may not be indicative of future clinical results in humans.</w:t>
      </w:r>
    </w:p>
    <w:p>
      <w:pPr>
        <w:spacing w:after="0" w:line="73"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Ultimately if regulatory authorities do not approve our products or if we fail to maintain regulatory compliance, we would be unable to commercialize our products, and our business and results of operations would be harmed. Even if we do succeed in developing products, we will face many potential obstacles such as the need to develop or obtain manufacturing, marketing and distribution capabilities. Furthermore, because transplantation of cells is a new form of therapy, the marketplace may not accept any products we may develop.</w:t>
      </w:r>
    </w:p>
    <w:p>
      <w:pPr>
        <w:spacing w:after="0" w:line="85"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color w:val="auto"/>
        </w:rPr>
        <w:t>Moreover, because our cell-based therapeutic products will be derived from tissue of individuals other than the patient (that is, they will be “non-self” or “allogeneic” transplant products), patients will likely require the use of immunosuppressive drugs. While immunosuppression is now standard in connection with allogeneic transplants of various kinds, such as heart or liver transplants, long-term maintenance on immunosuppressive drugs can result in complications such as infection, cancer, cardiovascular disease, and renal dysfunction. An immunosuppression regimen is currently being used with our therapeutic product candidate in our Phase I clinical trial for NCL.</w:t>
      </w:r>
    </w:p>
    <w:p>
      <w:pPr>
        <w:spacing w:after="0" w:line="89"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b w:val="1"/>
          <w:bCs w:val="1"/>
          <w:i w:val="1"/>
          <w:iCs w:val="1"/>
          <w:color w:val="auto"/>
        </w:rPr>
        <w:t>Our success will depend in large part on our ability to develop and commercialize products that treat diseases other than neuronal ceroid lipofuscinosis (Batten disease).</w:t>
      </w:r>
    </w:p>
    <w:p>
      <w:pPr>
        <w:spacing w:after="0" w:line="73" w:lineRule="exact"/>
        <w:rPr>
          <w:sz w:val="20"/>
          <w:szCs w:val="20"/>
          <w:color w:val="auto"/>
        </w:rPr>
      </w:pPr>
    </w:p>
    <w:p>
      <w:pPr>
        <w:ind w:right="160" w:firstLine="211"/>
        <w:spacing w:after="0" w:line="252" w:lineRule="auto"/>
        <w:rPr>
          <w:sz w:val="20"/>
          <w:szCs w:val="20"/>
          <w:color w:val="auto"/>
        </w:rPr>
      </w:pPr>
      <w:r>
        <w:rPr>
          <w:rFonts w:ascii="Arial" w:cs="Arial" w:eastAsia="Arial" w:hAnsi="Arial"/>
          <w:sz w:val="18"/>
          <w:szCs w:val="18"/>
          <w:color w:val="auto"/>
        </w:rPr>
        <w:t>Although we have initially focused on evaluating our neural stem cell product for the treatment of infantile and late infantile NCL (Batten disease), this disease is rare and the market for treating this disease is small. Accordingly, even if we obtain marketing approval for our HuCNS-SC product candidate for infantile and late infantile NCL, in order to achieve profitability, we will likely need to obtain approval to treat additional diseases that present more significant market opportunities.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of companies, businesses or technologies may substantially dilute our stockholders and increase our operating losses.</w:t>
      </w:r>
    </w:p>
    <w:p>
      <w:pPr>
        <w:spacing w:after="0" w:line="111" w:lineRule="exact"/>
        <w:rPr>
          <w:sz w:val="20"/>
          <w:szCs w:val="20"/>
          <w:color w:val="auto"/>
        </w:rPr>
      </w:pPr>
    </w:p>
    <w:p>
      <w:pPr>
        <w:ind w:right="40" w:firstLine="218"/>
        <w:spacing w:after="0" w:line="302" w:lineRule="auto"/>
        <w:rPr>
          <w:sz w:val="20"/>
          <w:szCs w:val="20"/>
          <w:color w:val="auto"/>
        </w:rPr>
      </w:pPr>
      <w:r>
        <w:rPr>
          <w:rFonts w:ascii="Arial" w:cs="Arial" w:eastAsia="Arial" w:hAnsi="Arial"/>
          <w:sz w:val="15"/>
          <w:szCs w:val="15"/>
          <w:color w:val="auto"/>
        </w:rPr>
        <w:t>We may make acquisitions of businesses, technologies or intellectual property rights or otherwise modify our business model in ways we believe to be necessary, useful or complementary to our current product development efforts and cell-based therapeutics business. Any such acquisition or change in business activities may require assimilation of the operations, products or product candidates and personnel of the acquired business and the training and integration of its employees, and could substantially increase our operating costs, without any offsetting increase in revenue. Acquisitions may not provide the intended technological, scientific or business benefits and could disrupt our operations and divert our limited resources and management’s attention from our current operations, which could harm our existing product development efforts. We would likely issue equity securities to pay for any future acquisitions. The issuance of equity securities for an acquisition could be substantially dilutive to our stockholders. In addition, our results of operations may suffer because of acquisition-related costs or the post-acquisition costs of funding the development of an acquired technology or product candidates or operation of the acquired business, or due to amortization or impairment costs for acquired goodwill and other intangible assets. Any investment made in, or funds advanced to, a potential acquisition target could also significantly adversely affect our results of operation and could further reduce our limited capital resources. Any acquisition or action taken in anticipation of a potential acquisition or other change in business activities could substantially depress the price of our stock.</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cell-based therapeutics research and development.</w:t>
      </w:r>
    </w:p>
    <w:p>
      <w:pPr>
        <w:spacing w:after="0" w:line="73" w:lineRule="exact"/>
        <w:rPr>
          <w:sz w:val="20"/>
          <w:szCs w:val="20"/>
          <w:color w:val="auto"/>
        </w:rPr>
      </w:pPr>
    </w:p>
    <w:p>
      <w:pPr>
        <w:ind w:right="20" w:firstLine="221"/>
        <w:spacing w:after="0" w:line="299" w:lineRule="auto"/>
        <w:rPr>
          <w:sz w:val="20"/>
          <w:szCs w:val="20"/>
          <w:color w:val="auto"/>
        </w:rPr>
      </w:pPr>
      <w:r>
        <w:rPr>
          <w:rFonts w:ascii="Arial" w:cs="Arial" w:eastAsia="Arial" w:hAnsi="Arial"/>
          <w:sz w:val="15"/>
          <w:szCs w:val="15"/>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for our former science and administrative facility, which we have leased through June 30, 2013. These costs, before sub-tenant rental income, amounted to approximately $1,523,000 in 2007;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$400,000 per year for our former encapsulated cell therapy pilot manufacturing facility, which we own. We have currently subleased a portion of the science and administrative facility, and we are seeking to sublease the remaining portion, but we cannot be sure that we will be able to keep any part of the facility subleased for the duration of our obligation. We are currently seeking to sublease the pilot manufacturing facility, but may not be able to sublease or sell the facility in the future. These continuing costs significantly reduce our cash resources and adversely affect our ability to fund further development of our cellular technologies.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December 31, 2007, the reserve was $6,143,000. For the year 2007, we incurred $1,420,000 in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obtain partners to support our cell-based therapeutic product development efforts when needed to commercialize our technologies.</w:t>
      </w:r>
    </w:p>
    <w:p>
      <w:pPr>
        <w:spacing w:after="0" w:line="146" w:lineRule="exact"/>
        <w:rPr>
          <w:sz w:val="20"/>
          <w:szCs w:val="20"/>
          <w:color w:val="auto"/>
        </w:rPr>
      </w:pPr>
    </w:p>
    <w:p>
      <w:pPr>
        <w:ind w:right="40" w:firstLine="221"/>
        <w:spacing w:after="0" w:line="265" w:lineRule="auto"/>
        <w:rPr>
          <w:sz w:val="20"/>
          <w:szCs w:val="20"/>
          <w:color w:val="auto"/>
        </w:rPr>
      </w:pPr>
      <w:r>
        <w:rPr>
          <w:rFonts w:ascii="Arial" w:cs="Arial" w:eastAsia="Arial" w:hAnsi="Arial"/>
          <w:sz w:val="17"/>
          <w:szCs w:val="17"/>
          <w:color w:val="auto"/>
        </w:rPr>
        <w:t>Equity and debt financings alone may not be sufficient to fund the cost of developing our cellular technologies, and we may need to rely on partnering or other arrangements to provide financial support for our cellular discovery and development efforts. In addition, in order to successfully develop and commercialize our technologies, we may need to enter into various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such arrangements, we may not be able to satisfy our obligations under them or renew or replace them after their original terms expire. Furthermore, these arrangements may require us to grant rights to third parties, such as exclusive marketing rights to one or more products, may require us to issue securities to our collaborators and may contain other terms that are burdensome to us or result in a decrease in our stock price.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our patents and proprietary rights, our business, financial condition and results of operations may be materially harmed.</w:t>
      </w:r>
    </w:p>
    <w:p>
      <w:pPr>
        <w:spacing w:after="0" w:line="146" w:lineRule="exact"/>
        <w:rPr>
          <w:sz w:val="20"/>
          <w:szCs w:val="20"/>
          <w:color w:val="auto"/>
        </w:rPr>
      </w:pPr>
    </w:p>
    <w:p>
      <w:pPr>
        <w:ind w:firstLine="218"/>
        <w:spacing w:after="0" w:line="263" w:lineRule="auto"/>
        <w:rPr>
          <w:sz w:val="20"/>
          <w:szCs w:val="20"/>
          <w:color w:val="auto"/>
        </w:rPr>
      </w:pPr>
      <w:r>
        <w:rPr>
          <w:rFonts w:ascii="Arial" w:cs="Arial" w:eastAsia="Arial" w:hAnsi="Arial"/>
          <w:sz w:val="17"/>
          <w:szCs w:val="17"/>
          <w:color w:val="auto"/>
        </w:rPr>
        <w:t>We either own or exclusively license a number of patents and pending patent applications related to various stem and progenitor cells, including human neural stem cell cultures, as well as methods of deriving and using them. The process of obtaining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either before or after issuing the patent. For example,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In the United States, third parties may seek to invalidate or render unenforceable issued patents through a U.S. PTO reexamination process or through the courts; currently two of our patents are the subject of a reexamination proceeding and six of our patents are the subject of litigation. In addition, changes to the laws protecting intellectual property rights could adversely impact the perceived or actual value of our Company. Consequently, we do not know whether any of our pending applications will result in the issuance of patents, whether any of our issued patents will be invalidated or restricted, whether any existing or future patents will provide sufficient protection or significant commercial advantage, or whether others will circumvent these patents, whether or not lawfully. In addition, our patents may not afford us adequate protection from competing products. Moreover, because patents issue for a limited term, our patents may expire before we can commercialize a product covered by the issued patent claims or before we can utilize the patents profitably. Some of our most important patents begin to expire in 2015.</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21"/>
        <w:spacing w:after="0" w:line="249" w:lineRule="auto"/>
        <w:rPr>
          <w:sz w:val="20"/>
          <w:szCs w:val="20"/>
          <w:color w:val="auto"/>
        </w:rPr>
      </w:pPr>
      <w:r>
        <w:rPr>
          <w:rFonts w:ascii="Arial" w:cs="Arial" w:eastAsia="Arial" w:hAnsi="Arial"/>
          <w:sz w:val="18"/>
          <w:szCs w:val="18"/>
          <w:color w:val="auto"/>
        </w:rPr>
        <w:t>If we learn of third parties who infringe our patent rights, we may decide to initiate legal proceedings to enforce these rights. Patent litigation, including the pending litigation to which we are a party, is inherently unpredictable and highly risky and may result in unanticipated challenges to the validity or enforceability of our intellectual property, antitrust claims or other claims against us, which could result in the loss of these intellectual property rights. Litigation proceedings can be very time-consuming for management and are also very costly and the parties we bring actions against may have significantly greater financial resources than our own. We may not prevail in these proceedings and if we do not prevail we could be liable for damages as well as the costs and attorney fees of our opponents.</w:t>
      </w:r>
    </w:p>
    <w:p>
      <w:pPr>
        <w:spacing w:after="0" w:line="90" w:lineRule="exact"/>
        <w:rPr>
          <w:sz w:val="20"/>
          <w:szCs w:val="20"/>
          <w:color w:val="auto"/>
        </w:rPr>
      </w:pPr>
    </w:p>
    <w:p>
      <w:pPr>
        <w:ind w:right="200" w:firstLine="221"/>
        <w:spacing w:after="0" w:line="249"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146" w:lineRule="exact"/>
        <w:rPr>
          <w:sz w:val="20"/>
          <w:szCs w:val="20"/>
          <w:color w:val="auto"/>
        </w:rPr>
      </w:pPr>
    </w:p>
    <w:p>
      <w:pPr>
        <w:ind w:right="20" w:firstLine="211"/>
        <w:spacing w:after="0" w:line="264"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received patents relating to cell therapy, stem and progenitor cells and other technologies potentially relevant to, or necessary for, our expected products. We cannot predict which, if any, of these applications will issue as patents or how many of these issued patents will be found valid and enforceable. There may also be existing issued patents which we are currently unaware of which would be infringed by the commercialization of one or more of our product candidates. If so, we may be prevented from commercializing these products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 or potentially prevent us from continuing certain operations.</w:t>
      </w:r>
    </w:p>
    <w:p>
      <w:pPr>
        <w:spacing w:after="0" w:line="80" w:lineRule="exact"/>
        <w:rPr>
          <w:sz w:val="20"/>
          <w:szCs w:val="20"/>
          <w:color w:val="auto"/>
        </w:rPr>
      </w:pPr>
    </w:p>
    <w:p>
      <w:pPr>
        <w:ind w:firstLine="218"/>
        <w:spacing w:after="0" w:line="265" w:lineRule="auto"/>
        <w:rPr>
          <w:sz w:val="20"/>
          <w:szCs w:val="20"/>
          <w:color w:val="auto"/>
        </w:rPr>
      </w:pPr>
      <w:r>
        <w:rPr>
          <w:rFonts w:ascii="Arial" w:cs="Arial" w:eastAsia="Arial" w:hAnsi="Arial"/>
          <w:sz w:val="17"/>
          <w:szCs w:val="17"/>
          <w:color w:val="auto"/>
        </w:rPr>
        <w:t>We are aware of intellectual property rights held by third parties that relate to products or technologies we are developing. For example, some aspects of our cell-based therapeutic product candidates involve the use of growth factors, antibodies and other reagents that may, in certain cases, be the subject of third party rights. Before we commercialize any product using these growth factors, antibodies or reagents, we may need to obtain license rights from third parties or use alternative growth factors, antibodies and reagents that are not then the subject of third party patent rights. We currently believe that the commercialization of our products as currently planned will not infringe these third party rights, or, alternatively, that we will be able to obtain necessary licenses or otherwise use alternative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w:t>
      </w:r>
    </w:p>
    <w:p>
      <w:pPr>
        <w:spacing w:after="0" w:line="77" w:lineRule="exact"/>
        <w:rPr>
          <w:sz w:val="20"/>
          <w:szCs w:val="20"/>
          <w:color w:val="auto"/>
        </w:rPr>
      </w:pPr>
    </w:p>
    <w:p>
      <w:pPr>
        <w:ind w:firstLine="218"/>
        <w:spacing w:after="0" w:line="271" w:lineRule="auto"/>
        <w:rPr>
          <w:sz w:val="20"/>
          <w:szCs w:val="20"/>
          <w:color w:val="auto"/>
        </w:rPr>
      </w:pPr>
      <w:r>
        <w:rPr>
          <w:rFonts w:ascii="Arial" w:cs="Arial" w:eastAsia="Arial" w:hAnsi="Arial"/>
          <w:sz w:val="17"/>
          <w:szCs w:val="17"/>
          <w:color w:val="auto"/>
        </w:rPr>
        <w:t>We have obtained rights from companies,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11" w:lineRule="exact"/>
        <w:rPr>
          <w:sz w:val="20"/>
          <w:szCs w:val="20"/>
          <w:color w:val="auto"/>
        </w:rPr>
      </w:pPr>
    </w:p>
    <w:p>
      <w:pPr>
        <w:ind w:right="40" w:firstLine="218"/>
        <w:spacing w:after="0" w:line="267" w:lineRule="auto"/>
        <w:rPr>
          <w:sz w:val="20"/>
          <w:szCs w:val="20"/>
          <w:color w:val="auto"/>
        </w:rPr>
      </w:pPr>
      <w:r>
        <w:rPr>
          <w:rFonts w:ascii="Arial" w:cs="Arial" w:eastAsia="Arial" w:hAnsi="Arial"/>
          <w:sz w:val="17"/>
          <w:szCs w:val="17"/>
          <w:color w:val="auto"/>
        </w:rPr>
        <w:t>The market for therapeutic products to treat diseases of, or injuries to, the central nervous system (CNS) is large and competition is intense. The majority of the products currently on the market or in development are small molecule pharmaceutical compounds, and many pharmaceutical companies have made significant commitments to the CNS field. We believe cellular therapies, if proven safe and effective, will have unique properties that will make them desirable over small molecule drugs, none of which currently replace damaged tissue. However, any cell-based therapeutic to treat diseases of, or injuries to, the CNS is likely to face intense competition from the small molecule sector, biologics, as well as medical devices. We expect to compete with a host of companies, some of which are privately owned and some of which have resources far greater than ours.</w:t>
      </w:r>
    </w:p>
    <w:p>
      <w:pPr>
        <w:spacing w:after="0" w:line="74" w:lineRule="exact"/>
        <w:rPr>
          <w:sz w:val="20"/>
          <w:szCs w:val="20"/>
          <w:color w:val="auto"/>
        </w:rPr>
      </w:pPr>
    </w:p>
    <w:p>
      <w:pPr>
        <w:ind w:right="20" w:firstLine="221"/>
        <w:spacing w:after="0" w:line="271" w:lineRule="auto"/>
        <w:rPr>
          <w:sz w:val="20"/>
          <w:szCs w:val="20"/>
          <w:color w:val="auto"/>
        </w:rPr>
      </w:pPr>
      <w:r>
        <w:rPr>
          <w:rFonts w:ascii="Arial" w:cs="Arial" w:eastAsia="Arial" w:hAnsi="Arial"/>
          <w:sz w:val="17"/>
          <w:szCs w:val="17"/>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 Liver transplantation may remain the standard of care even if we successfully develop a cellular therapy. In addition, new therapies may become available before we successfully develop a cell-based therapy for liver disease.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our technologies is subject to, and restricted by, extensive government regulation, which could impede our business.</w:t>
      </w:r>
    </w:p>
    <w:p>
      <w:pPr>
        <w:spacing w:after="0" w:line="123" w:lineRule="exact"/>
        <w:rPr>
          <w:sz w:val="20"/>
          <w:szCs w:val="20"/>
          <w:color w:val="auto"/>
        </w:rPr>
      </w:pPr>
    </w:p>
    <w:p>
      <w:pPr>
        <w:ind w:right="40" w:firstLine="221"/>
        <w:spacing w:after="0" w:line="265" w:lineRule="auto"/>
        <w:rPr>
          <w:sz w:val="20"/>
          <w:szCs w:val="20"/>
          <w:color w:val="auto"/>
        </w:rPr>
      </w:pPr>
      <w:r>
        <w:rPr>
          <w:rFonts w:ascii="Arial" w:cs="Arial" w:eastAsia="Arial" w:hAnsi="Arial"/>
          <w:sz w:val="17"/>
          <w:szCs w:val="17"/>
          <w:color w:val="auto"/>
        </w:rPr>
        <w:t>Our research and development efforts, as well as any ongoing or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FDA and other legal and regulatory requirements applicable to the development and manufacture of the cells and cell lines required for our preclinical and clinical products could substantially delay or prevent us from producing the cells needed to initiate additional clinical trials.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77" w:lineRule="exact"/>
        <w:rPr>
          <w:sz w:val="20"/>
          <w:szCs w:val="20"/>
          <w:color w:val="auto"/>
        </w:rPr>
      </w:pPr>
    </w:p>
    <w:p>
      <w:pPr>
        <w:ind w:firstLine="218"/>
        <w:spacing w:after="0" w:line="265" w:lineRule="auto"/>
        <w:rPr>
          <w:sz w:val="20"/>
          <w:szCs w:val="20"/>
          <w:color w:val="auto"/>
        </w:rPr>
      </w:pPr>
      <w:r>
        <w:rPr>
          <w:rFonts w:ascii="Arial" w:cs="Arial" w:eastAsia="Arial" w:hAnsi="Arial"/>
          <w:sz w:val="17"/>
          <w:szCs w:val="17"/>
          <w:color w:val="auto"/>
        </w:rPr>
        <w:t>We base our research and development on the use of human stem and progenitor cells obtained from human tissue, including fetal tissue. The U.S. federal and state governments and other jurisdictions impose restrictions on the acquisition and use of fetal tissue, including those incorporated in federal Good Tissue Practice, or cGTP, regulations. These regulatory and other constraints could prevent us from obtaining cells and other components of our products in the quantity or quality needed for their development or commercialization. These restrictions change from time to time and may become more onerous. Additionally, we may not be able to identify or develop reliable sources for the cells necessary for our potential products — that is, sources that follow all state and federal laws and guidelines for cell procurement. Certain components used to manufacture our stem and progenitor cell product candidates will need to be manufactured in compliance with the FDA’s Good Manufacturing Practices, or cGMP. Accordingly, we will need to enter into supply agreements with companies that manufacture these components to cGMP standards.</w:t>
      </w:r>
    </w:p>
    <w:p>
      <w:pPr>
        <w:spacing w:after="0" w:line="77" w:lineRule="exact"/>
        <w:rPr>
          <w:sz w:val="20"/>
          <w:szCs w:val="20"/>
          <w:color w:val="auto"/>
        </w:rPr>
      </w:pPr>
    </w:p>
    <w:p>
      <w:pPr>
        <w:ind w:right="60" w:firstLine="221"/>
        <w:spacing w:after="0" w:line="269" w:lineRule="auto"/>
        <w:rPr>
          <w:sz w:val="20"/>
          <w:szCs w:val="20"/>
          <w:color w:val="auto"/>
        </w:rPr>
      </w:pPr>
      <w:r>
        <w:rPr>
          <w:rFonts w:ascii="Arial" w:cs="Arial" w:eastAsia="Arial" w:hAnsi="Arial"/>
          <w:sz w:val="17"/>
          <w:szCs w:val="17"/>
          <w:color w:val="auto"/>
        </w:rPr>
        <w:t>Noncompliance with applicable requirements both before and after approval, if any, can subject us, our third party suppliers and manufacturers, and our other collaborators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elimination of claims we can make for our products, and refusal of the government to enter into supply contracts or fund research, or delay in approving or refusal to approve new drug applications.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services of key personnel.</w:t>
      </w:r>
    </w:p>
    <w:p>
      <w:pPr>
        <w:spacing w:after="0" w:line="111" w:lineRule="exact"/>
        <w:rPr>
          <w:sz w:val="20"/>
          <w:szCs w:val="20"/>
          <w:color w:val="auto"/>
        </w:rPr>
      </w:pPr>
    </w:p>
    <w:p>
      <w:pPr>
        <w:ind w:right="40" w:firstLine="218"/>
        <w:spacing w:after="0" w:line="249"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heads of key departments or functions within the company.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90" w:lineRule="exact"/>
        <w:rPr>
          <w:sz w:val="20"/>
          <w:szCs w:val="20"/>
          <w:color w:val="auto"/>
        </w:rPr>
      </w:pPr>
    </w:p>
    <w:p>
      <w:pPr>
        <w:ind w:right="320" w:firstLine="221"/>
        <w:spacing w:after="0" w:line="265" w:lineRule="auto"/>
        <w:rPr>
          <w:sz w:val="20"/>
          <w:szCs w:val="20"/>
          <w:color w:val="auto"/>
        </w:rPr>
      </w:pPr>
      <w:r>
        <w:rPr>
          <w:rFonts w:ascii="Arial" w:cs="Arial" w:eastAsia="Arial" w:hAnsi="Arial"/>
          <w:sz w:val="18"/>
          <w:szCs w:val="18"/>
          <w:color w:val="auto"/>
        </w:rPr>
        <w:t>Our activities involve hazardous materials and experimental animal testing; improper handling of these animals and materials by our employees or agents could expose us to significant legal and financial penalties.</w:t>
      </w:r>
    </w:p>
    <w:p>
      <w:pPr>
        <w:spacing w:after="0" w:line="73"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Our research and development activities involve the controlled use of test animals as well as hazardous chemicals and potentially hazardous biological materials such as human tissue. Their use subjects us to environmental and safety laws and regulations such as those governing laboratory procedures, exposure to blood-borne pathogens, use of laboratory animals, and the handling of biohazardous materials. Compliance with current or future laws and regulations may be expensive and the cost of compliance could adversely affect us.</w:t>
      </w:r>
    </w:p>
    <w:p>
      <w:pPr>
        <w:spacing w:after="0" w:line="85" w:lineRule="exact"/>
        <w:rPr>
          <w:sz w:val="20"/>
          <w:szCs w:val="20"/>
          <w:color w:val="auto"/>
        </w:rPr>
      </w:pPr>
    </w:p>
    <w:p>
      <w:pPr>
        <w:ind w:right="60" w:firstLine="211"/>
        <w:spacing w:after="0" w:line="265" w:lineRule="auto"/>
        <w:rPr>
          <w:sz w:val="20"/>
          <w:szCs w:val="20"/>
          <w:color w:val="auto"/>
        </w:rPr>
      </w:pPr>
      <w:r>
        <w:rPr>
          <w:rFonts w:ascii="Arial" w:cs="Arial" w:eastAsia="Arial" w:hAnsi="Arial"/>
          <w:sz w:val="17"/>
          <w:szCs w:val="17"/>
          <w:color w:val="auto"/>
        </w:rPr>
        <w:t>Although we believe that our safety procedures for using, handling, storing, and disposing of hazardous and potentially hazardous materials comply with the standards prescribed by California and federal regulations, the risk of accidental contamination or injury from these materials cannot be eliminated. In the event of such an accident or of any violation of these or future laws and regulations, state or federal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20"/>
        <w:spacing w:after="0" w:line="265" w:lineRule="auto"/>
        <w:rPr>
          <w:sz w:val="20"/>
          <w:szCs w:val="20"/>
          <w:color w:val="auto"/>
        </w:rPr>
      </w:pPr>
      <w:r>
        <w:rPr>
          <w:rFonts w:ascii="Arial" w:cs="Arial" w:eastAsia="Arial" w:hAnsi="Arial"/>
          <w:sz w:val="18"/>
          <w:szCs w:val="18"/>
          <w:b w:val="1"/>
          <w:bCs w:val="1"/>
          <w:i w:val="1"/>
          <w:iCs w:val="1"/>
          <w:color w:val="auto"/>
        </w:rPr>
        <w:t>The development, manufacturing and commercialization of cell-based therapeutic products expose us to product liability claims, which could lead to substantial liability.</w:t>
      </w:r>
    </w:p>
    <w:p>
      <w:pPr>
        <w:spacing w:after="0" w:line="73" w:lineRule="exact"/>
        <w:rPr>
          <w:sz w:val="20"/>
          <w:szCs w:val="20"/>
          <w:color w:val="auto"/>
        </w:rPr>
      </w:pPr>
    </w:p>
    <w:p>
      <w:pPr>
        <w:ind w:right="140" w:firstLine="221"/>
        <w:spacing w:after="0" w:line="252" w:lineRule="auto"/>
        <w:rPr>
          <w:sz w:val="20"/>
          <w:szCs w:val="20"/>
          <w:color w:val="auto"/>
        </w:rPr>
      </w:pPr>
      <w:r>
        <w:rPr>
          <w:rFonts w:ascii="Arial" w:cs="Arial" w:eastAsia="Arial" w:hAnsi="Arial"/>
          <w:sz w:val="18"/>
          <w:szCs w:val="18"/>
          <w:color w:val="auto"/>
        </w:rPr>
        <w:t>By developing and, ultimately, commercializing medical products, we are exposed to the risk of product liability claims. Product liability claims against us could result in substantial litigation costs and damage awards against us. We have obtained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manufacture of cell-based therapeutic products is novel, highly regulated, critical to our business, and dependent upon specialized key materials.</w:t>
      </w:r>
    </w:p>
    <w:p>
      <w:pPr>
        <w:spacing w:after="0" w:line="146" w:lineRule="exact"/>
        <w:rPr>
          <w:sz w:val="20"/>
          <w:szCs w:val="20"/>
          <w:color w:val="auto"/>
        </w:rPr>
      </w:pPr>
    </w:p>
    <w:p>
      <w:pPr>
        <w:ind w:right="60" w:firstLine="218"/>
        <w:spacing w:after="0" w:line="264" w:lineRule="auto"/>
        <w:rPr>
          <w:sz w:val="20"/>
          <w:szCs w:val="20"/>
          <w:color w:val="auto"/>
        </w:rPr>
      </w:pPr>
      <w:r>
        <w:rPr>
          <w:rFonts w:ascii="Arial" w:cs="Arial" w:eastAsia="Arial" w:hAnsi="Arial"/>
          <w:sz w:val="17"/>
          <w:szCs w:val="17"/>
          <w:color w:val="auto"/>
        </w:rPr>
        <w:t>The proliferation and manufacture of cell-based therapeutic products are complicated and difficult processes, dependent upon substantial know-how and subject to the need for continual process improvements to be competitive. Our manufacturing experience is limited and the technologies are comparatively new. In addition, our ability to scale-up manufacturing to satisfy the various requirements of our planned clinical trials, such as GTP, GMP and release testing requirements, is uncertain. Manufacturing disruptions may occur and despite efforts to regulate and control all aspects of manufacturing, the potential for human or system failure remains. Manufacturing irregularities or lapses in quality control could have a serious adverse effect on our reputation and business, which could cause a significant loss of stockholder value. Many of the materials that we use to prepare our cell-based products are highly specialized, complex and available from only a limited number of suppliers or derived from a biological origin. At present, some of our material requirements are single sourced, and the loss of one or more of these sources may adversely affect our business if we are unable to obtain alternatives or alternative sources at all or upon terms that are acceptable to us.</w:t>
      </w:r>
    </w:p>
    <w:p>
      <w:pPr>
        <w:spacing w:after="0" w:line="80" w:lineRule="exact"/>
        <w:rPr>
          <w:sz w:val="20"/>
          <w:szCs w:val="20"/>
          <w:color w:val="auto"/>
        </w:rPr>
      </w:pPr>
    </w:p>
    <w:p>
      <w:pPr>
        <w:ind w:right="740"/>
        <w:spacing w:after="0" w:line="265" w:lineRule="auto"/>
        <w:rPr>
          <w:sz w:val="20"/>
          <w:szCs w:val="20"/>
          <w:color w:val="auto"/>
        </w:rPr>
      </w:pPr>
      <w:r>
        <w:rPr>
          <w:rFonts w:ascii="Arial" w:cs="Arial" w:eastAsia="Arial" w:hAnsi="Arial"/>
          <w:sz w:val="18"/>
          <w:szCs w:val="18"/>
          <w:b w:val="1"/>
          <w:bCs w:val="1"/>
          <w:i w:val="1"/>
          <w:iCs w:val="1"/>
          <w:color w:val="auto"/>
        </w:rPr>
        <w:t>Because health care insurers and other organizations may not pay for our products or may impose limits on reimbursements, our ability to become profitable could be adversely affected.</w:t>
      </w:r>
    </w:p>
    <w:p>
      <w:pPr>
        <w:spacing w:after="0" w:line="73" w:lineRule="exact"/>
        <w:rPr>
          <w:sz w:val="20"/>
          <w:szCs w:val="20"/>
          <w:color w:val="auto"/>
        </w:rPr>
      </w:pPr>
    </w:p>
    <w:p>
      <w:pPr>
        <w:ind w:firstLine="221"/>
        <w:spacing w:after="0" w:line="300" w:lineRule="auto"/>
        <w:rPr>
          <w:sz w:val="20"/>
          <w:szCs w:val="20"/>
          <w:color w:val="auto"/>
        </w:rPr>
      </w:pPr>
      <w:r>
        <w:rPr>
          <w:rFonts w:ascii="Arial" w:cs="Arial" w:eastAsia="Arial" w:hAnsi="Arial"/>
          <w:sz w:val="15"/>
          <w:szCs w:val="15"/>
          <w:color w:val="auto"/>
        </w:rPr>
        <w:t>In both domestic and foreign markets, sales of potential products are likely to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or other relevant authority has not granted marketing approval. Moreover, in some cases, government and other third party payors have refused to provide reimbursement for uses of approved products for disease indications for which the FDA or other relevant authority has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cellular technologies. In certain foreign markets, pricing or profitability of prescription pharmaceuticals is subject to government control. We also expect that there will continue to be a number of federal and state proposals to implement government control over health care costs. Efforts to change regulatory and reimbursement standards are likely to continue in future legislative sessions. We do not know what legislative proposals federal or state governments will adopt or what actions federal, state or private payors for health care goods and services may take in response to such proposals or legislation. We cannot predict the effect of government control and health care reimbursement practices on our business.</w:t>
      </w:r>
    </w:p>
    <w:p>
      <w:pPr>
        <w:spacing w:after="0" w:line="266"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b w:val="1"/>
          <w:bCs w:val="1"/>
          <w:i w:val="1"/>
          <w:iCs w:val="1"/>
          <w:color w:val="auto"/>
        </w:rPr>
        <w:t>Ethical and other concerns surrounding the use of stem or progenitor-based cell therapy may negatively affect regulatory approval or public perception of our product candidates, which could reduce demand for our products or depress our stock price.</w:t>
      </w:r>
    </w:p>
    <w:p>
      <w:pPr>
        <w:spacing w:after="0" w:line="73" w:lineRule="exact"/>
        <w:rPr>
          <w:sz w:val="20"/>
          <w:szCs w:val="20"/>
          <w:color w:val="auto"/>
        </w:rPr>
      </w:pPr>
    </w:p>
    <w:p>
      <w:pPr>
        <w:ind w:right="40" w:firstLine="218"/>
        <w:spacing w:after="0" w:line="302" w:lineRule="auto"/>
        <w:rPr>
          <w:sz w:val="20"/>
          <w:szCs w:val="20"/>
          <w:color w:val="auto"/>
        </w:rPr>
      </w:pPr>
      <w:r>
        <w:rPr>
          <w:rFonts w:ascii="Arial" w:cs="Arial" w:eastAsia="Arial" w:hAnsi="Arial"/>
          <w:sz w:val="15"/>
          <w:szCs w:val="15"/>
          <w:color w:val="auto"/>
        </w:rPr>
        <w:t>The use of stem cells for research and therapy has been the subject of debate regarding related ethical, legal and social issues. Although these concerns have mainly been directed to the use of embryonic stem cells, which we do not use, the distinction between embryonic and non-embryonic stem cells is frequently overlooked; moreover, our use of human stem or progenitor cells from fetal sources might raise these or similar concerns.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from commercializing products. Existing and potential U.S. government regulation of embryonic tissue may lead researchers to leave the field of stem cell research or the country altogether, in order to assure that their careers will not be impeded by restrictions on their work. Similarly, these factors may induce graduate students to choose other fields less vulnerable to changes in regulatory oversight, thus exacerbating the risk that we may not be able to attract and retain the scientific personnel we need in face of the competition among pharmaceutical, biotechnology and health care companies, universities and research institutions for what may become a shrinking class of qualified individuals.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Our corporate documents and Delaware law contain provisions that could make it difficult for us to be acquired in a transaction that might be beneficial to our stockholders.</w:t>
      </w:r>
    </w:p>
    <w:p>
      <w:pPr>
        <w:spacing w:after="0" w:line="73" w:lineRule="exact"/>
        <w:rPr>
          <w:sz w:val="20"/>
          <w:szCs w:val="20"/>
          <w:color w:val="auto"/>
        </w:rPr>
      </w:pPr>
    </w:p>
    <w:p>
      <w:pPr>
        <w:ind w:firstLine="221"/>
        <w:spacing w:after="0" w:line="330" w:lineRule="auto"/>
        <w:rPr>
          <w:sz w:val="20"/>
          <w:szCs w:val="20"/>
          <w:color w:val="auto"/>
        </w:rPr>
      </w:pPr>
      <w:r>
        <w:rPr>
          <w:rFonts w:ascii="Arial" w:cs="Arial" w:eastAsia="Arial" w:hAnsi="Arial"/>
          <w:sz w:val="15"/>
          <w:szCs w:val="15"/>
          <w:color w:val="auto"/>
        </w:rPr>
        <w:t>Our board of directors has the authority to issue shares of preferred stock and to fix the rights, preferences, privileges, and restrictions of these shares without stockholder approval. These provisions in our corporate documents, along with certain provisions under Delaware law, may make it more difficult for a third party to acquire us or discourage a third party from attempting to acquire us, even if the acquisition might be beneficial to our stockholders.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has been, and will likely continue to be, highly volatile, which may negatively affect our ability to obtain additional financing in the future.</w:t>
      </w:r>
    </w:p>
    <w:p>
      <w:pPr>
        <w:spacing w:after="0" w:line="146" w:lineRule="exact"/>
        <w:rPr>
          <w:sz w:val="20"/>
          <w:szCs w:val="20"/>
          <w:color w:val="auto"/>
        </w:rPr>
      </w:pPr>
    </w:p>
    <w:p>
      <w:pPr>
        <w:ind w:right="240" w:firstLine="218"/>
        <w:spacing w:after="0" w:line="265" w:lineRule="auto"/>
        <w:rPr>
          <w:sz w:val="20"/>
          <w:szCs w:val="20"/>
          <w:color w:val="auto"/>
        </w:rPr>
      </w:pPr>
      <w:r>
        <w:rPr>
          <w:rFonts w:ascii="Arial" w:cs="Arial" w:eastAsia="Arial" w:hAnsi="Arial"/>
          <w:sz w:val="18"/>
          <w:szCs w:val="18"/>
          <w:color w:val="auto"/>
        </w:rPr>
        <w:t>The market price per share of our common stock has been and is likely to continue to be highly volatile due to the risks and uncertainties described in this section of this prospectus supplement, as well as other factors, including:</w:t>
      </w:r>
    </w:p>
    <w:p>
      <w:pPr>
        <w:spacing w:after="0" w:line="73" w:lineRule="exact"/>
        <w:rPr>
          <w:sz w:val="20"/>
          <w:szCs w:val="20"/>
          <w:color w:val="auto"/>
        </w:rPr>
      </w:pPr>
    </w:p>
    <w:p>
      <w:pPr>
        <w:ind w:left="220" w:hanging="214"/>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develop and test our technologies;</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patent or obtain licenses to necessary technologies;</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conditions and publicity regarding the industry in which we operate, as well as the specific areas our product candidates seek to address;</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competition in our industry;</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economic and other external factors or other disasters or crises;</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comments by securities analysts, or our failure to meet market expectations.</w:t>
      </w:r>
    </w:p>
    <w:p>
      <w:pPr>
        <w:spacing w:after="0" w:line="111" w:lineRule="exact"/>
        <w:rPr>
          <w:sz w:val="20"/>
          <w:szCs w:val="20"/>
          <w:color w:val="auto"/>
        </w:rPr>
      </w:pPr>
    </w:p>
    <w:p>
      <w:pPr>
        <w:ind w:right="20" w:firstLine="221"/>
        <w:spacing w:after="0" w:line="255" w:lineRule="auto"/>
        <w:rPr>
          <w:sz w:val="20"/>
          <w:szCs w:val="20"/>
          <w:color w:val="auto"/>
        </w:rPr>
      </w:pPr>
      <w:r>
        <w:rPr>
          <w:rFonts w:ascii="Arial" w:cs="Arial" w:eastAsia="Arial" w:hAnsi="Arial"/>
          <w:sz w:val="18"/>
          <w:szCs w:val="18"/>
          <w:color w:val="auto"/>
        </w:rPr>
        <w:t>Over the two-year period ended November 11, 2008, the trading price of our common stock as reported on The Nasdaq Global Market ranged from a high of $3.63 to a low of $0.66. As a result of this volatility, your investment in our stock is subject to substantial risk. Furthermore, the volatility of our stock price could negatively impact our ability to raise capital or acquire businesses or technologies.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the interest of current stockholders.</w:t>
      </w:r>
    </w:p>
    <w:p>
      <w:pPr>
        <w:spacing w:after="0" w:line="111" w:lineRule="exact"/>
        <w:rPr>
          <w:sz w:val="20"/>
          <w:szCs w:val="20"/>
          <w:color w:val="auto"/>
        </w:rPr>
      </w:pPr>
    </w:p>
    <w:p>
      <w:pPr>
        <w:ind w:firstLine="221"/>
        <w:spacing w:after="0" w:line="309" w:lineRule="auto"/>
        <w:rPr>
          <w:sz w:val="20"/>
          <w:szCs w:val="20"/>
          <w:color w:val="auto"/>
        </w:rPr>
      </w:pPr>
      <w:r>
        <w:rPr>
          <w:rFonts w:ascii="Arial" w:cs="Arial" w:eastAsia="Arial" w:hAnsi="Arial"/>
          <w:sz w:val="15"/>
          <w:szCs w:val="15"/>
          <w:color w:val="auto"/>
        </w:rPr>
        <w:t>Pursuant to this prospectus supplement, we are offering warrants to purchase up to 10,344,828 shares of our common stock. In addition, as of September 30, 2008, there were outstanding warrants to purchase 1,255,000 shares of our common stock, at a weighted average exercise price of $1.90 per share. Also as of September 30, 2008, there were outstanding options to purchase 8,471,887 shares of our common stock, at a weighted average exercise price of $2.33 per share, and 1,650,000 restricted stock units.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stockholders.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Note regarding forward-looking statements</w:t>
      </w:r>
    </w:p>
    <w:p>
      <w:pPr>
        <w:spacing w:after="0" w:line="111"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This prospectus supplement, the accompanying prospectus, any free writing prospectus used in connection with this offering and the documents incorporated by reference herein and therein may contain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including any related litigation;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and elsewhere in this prospectus supplement, in Part I, Item 1A (Risk Factors) in our Form 10-K for the year ended December 31, 2007 and in Part II, Item 1A (Risk Factors) in our Form 10-Q for the fiscal quarter ended September 30, 2008.</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11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estimate that the net proceeds from the sale of the 13,793,104 units will be approximately $18.5 million, assuming that we sell the maximum number of units we are offering pursuant to this prospectus supplement. Because there is no minimum offering amount required as a condition to the closing of this offering, the actual number of units sold, placement agent fees and proceeds to us are not presently determinable and may be substantially less than the maximum amount set forth above.</w:t>
      </w:r>
    </w:p>
    <w:p>
      <w:pPr>
        <w:spacing w:after="0" w:line="85"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We intend to use the net proceeds of this offering for general corporate purposes, including working capital, product development and capital expenditures. A portion of the net proceeds may also be used for the acquisition of businesses, products and technologies that are complementary to ours, or for other strategic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Price range of common stock</w:t>
      </w:r>
    </w:p>
    <w:p>
      <w:pPr>
        <w:spacing w:after="0" w:line="11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common stock trades on The Nasdaq Global Market under the symbol “STEM.” The following table sets forth, for the periods indicated, the high and low intraday sales prices per share of our common stock as reported by The Nasdaq Global Market. These prices do not include retail markups, markdowns or commissions.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860" w:type="dxa"/>
            <w:vAlign w:val="bottom"/>
          </w:tcPr>
          <w:p>
            <w:pPr>
              <w:jc w:val="right"/>
              <w:ind w:right="493"/>
              <w:spacing w:after="0"/>
              <w:rPr>
                <w:sz w:val="20"/>
                <w:szCs w:val="20"/>
                <w:color w:val="auto"/>
              </w:rPr>
            </w:pPr>
            <w:r>
              <w:rPr>
                <w:rFonts w:ascii="Arial" w:cs="Arial" w:eastAsia="Arial" w:hAnsi="Arial"/>
                <w:sz w:val="14"/>
                <w:szCs w:val="14"/>
                <w:color w:val="auto"/>
              </w:rPr>
              <w:t>High</w:t>
            </w:r>
          </w:p>
        </w:tc>
        <w:tc>
          <w:tcPr>
            <w:tcW w:w="1300" w:type="dxa"/>
            <w:vAlign w:val="bottom"/>
          </w:tcPr>
          <w:p>
            <w:pPr>
              <w:jc w:val="right"/>
              <w:ind w:right="273"/>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2006</w:t>
            </w:r>
          </w:p>
        </w:tc>
        <w:tc>
          <w:tcPr>
            <w:tcW w:w="3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860" w:type="dxa"/>
            <w:vAlign w:val="bottom"/>
          </w:tcPr>
          <w:p>
            <w:pPr>
              <w:jc w:val="right"/>
              <w:ind w:right="473"/>
              <w:spacing w:after="0"/>
              <w:rPr>
                <w:sz w:val="20"/>
                <w:szCs w:val="20"/>
                <w:color w:val="auto"/>
              </w:rPr>
            </w:pPr>
            <w:r>
              <w:rPr>
                <w:rFonts w:ascii="Arial" w:cs="Arial" w:eastAsia="Arial" w:hAnsi="Arial"/>
                <w:sz w:val="18"/>
                <w:szCs w:val="18"/>
                <w:color w:val="auto"/>
              </w:rPr>
              <w:t>$4.07</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8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3.60</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860" w:type="dxa"/>
            <w:vAlign w:val="bottom"/>
          </w:tcPr>
          <w:p>
            <w:pPr>
              <w:jc w:val="right"/>
              <w:ind w:right="473"/>
              <w:spacing w:after="0"/>
              <w:rPr>
                <w:sz w:val="20"/>
                <w:szCs w:val="20"/>
                <w:color w:val="auto"/>
              </w:rPr>
            </w:pPr>
            <w:r>
              <w:rPr>
                <w:rFonts w:ascii="Arial" w:cs="Arial" w:eastAsia="Arial" w:hAnsi="Arial"/>
                <w:sz w:val="18"/>
                <w:szCs w:val="18"/>
                <w:color w:val="auto"/>
              </w:rPr>
              <w:t>2.56</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8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3.49</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424"/>
        </w:trPr>
        <w:tc>
          <w:tcPr>
            <w:tcW w:w="6260" w:type="dxa"/>
            <w:vAlign w:val="bottom"/>
            <w:gridSpan w:val="2"/>
          </w:tcPr>
          <w:p>
            <w:pPr>
              <w:spacing w:after="0"/>
              <w:rPr>
                <w:sz w:val="20"/>
                <w:szCs w:val="20"/>
                <w:color w:val="auto"/>
              </w:rPr>
            </w:pPr>
            <w:r>
              <w:rPr>
                <w:rFonts w:ascii="Arial" w:cs="Arial" w:eastAsia="Arial" w:hAnsi="Arial"/>
                <w:sz w:val="18"/>
                <w:szCs w:val="18"/>
                <w:color w:val="auto"/>
              </w:rPr>
              <w:t>Fiscal year ending December 31, 2007</w:t>
            </w:r>
          </w:p>
        </w:tc>
        <w:tc>
          <w:tcPr>
            <w:tcW w:w="3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8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$3.63</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3860" w:type="dxa"/>
            <w:vAlign w:val="bottom"/>
          </w:tcPr>
          <w:p>
            <w:pPr>
              <w:jc w:val="right"/>
              <w:ind w:right="473"/>
              <w:spacing w:after="0"/>
              <w:rPr>
                <w:sz w:val="20"/>
                <w:szCs w:val="20"/>
                <w:color w:val="auto"/>
              </w:rPr>
            </w:pPr>
            <w:r>
              <w:rPr>
                <w:rFonts w:ascii="Arial" w:cs="Arial" w:eastAsia="Arial" w:hAnsi="Arial"/>
                <w:sz w:val="18"/>
                <w:szCs w:val="18"/>
                <w:color w:val="auto"/>
              </w:rPr>
              <w:t>3.09</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38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2.45</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3860" w:type="dxa"/>
            <w:vAlign w:val="bottom"/>
          </w:tcPr>
          <w:p>
            <w:pPr>
              <w:jc w:val="right"/>
              <w:ind w:right="473"/>
              <w:spacing w:after="0"/>
              <w:rPr>
                <w:sz w:val="20"/>
                <w:szCs w:val="20"/>
                <w:color w:val="auto"/>
              </w:rPr>
            </w:pPr>
            <w:r>
              <w:rPr>
                <w:rFonts w:ascii="Arial" w:cs="Arial" w:eastAsia="Arial" w:hAnsi="Arial"/>
                <w:sz w:val="18"/>
                <w:szCs w:val="18"/>
                <w:color w:val="auto"/>
              </w:rPr>
              <w:t>2.53</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2008</w:t>
            </w:r>
          </w:p>
        </w:tc>
        <w:tc>
          <w:tcPr>
            <w:tcW w:w="3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860" w:type="dxa"/>
            <w:vAlign w:val="bottom"/>
          </w:tcPr>
          <w:p>
            <w:pPr>
              <w:jc w:val="right"/>
              <w:ind w:right="473"/>
              <w:spacing w:after="0"/>
              <w:rPr>
                <w:sz w:val="20"/>
                <w:szCs w:val="20"/>
                <w:color w:val="auto"/>
              </w:rPr>
            </w:pPr>
            <w:r>
              <w:rPr>
                <w:rFonts w:ascii="Arial" w:cs="Arial" w:eastAsia="Arial" w:hAnsi="Arial"/>
                <w:sz w:val="18"/>
                <w:szCs w:val="18"/>
                <w:color w:val="auto"/>
              </w:rPr>
              <w:t>$1.90</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8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1.75</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860" w:type="dxa"/>
            <w:vAlign w:val="bottom"/>
          </w:tcPr>
          <w:p>
            <w:pPr>
              <w:jc w:val="right"/>
              <w:ind w:right="473"/>
              <w:spacing w:after="0"/>
              <w:rPr>
                <w:sz w:val="20"/>
                <w:szCs w:val="20"/>
                <w:color w:val="auto"/>
              </w:rPr>
            </w:pPr>
            <w:r>
              <w:rPr>
                <w:rFonts w:ascii="Arial" w:cs="Arial" w:eastAsia="Arial" w:hAnsi="Arial"/>
                <w:sz w:val="18"/>
                <w:szCs w:val="18"/>
                <w:color w:val="auto"/>
              </w:rPr>
              <w:t>1.43</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 (through November 11, 2008)</w:t>
            </w:r>
          </w:p>
        </w:tc>
        <w:tc>
          <w:tcPr>
            <w:tcW w:w="38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2.28</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The last reported sales price of our common stock on The Nasdaq Global Market on November 11, 2008 was $2.09 per share. As of November 11, 2008, there were outstanding 81,145,499 shares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Dividend policy</w:t>
      </w:r>
    </w:p>
    <w:p>
      <w:pPr>
        <w:spacing w:after="0" w:line="111" w:lineRule="exact"/>
        <w:rPr>
          <w:sz w:val="20"/>
          <w:szCs w:val="20"/>
          <w:color w:val="auto"/>
        </w:rPr>
      </w:pPr>
    </w:p>
    <w:p>
      <w:pPr>
        <w:ind w:right="580"/>
        <w:spacing w:after="0" w:line="294" w:lineRule="auto"/>
        <w:rPr>
          <w:sz w:val="20"/>
          <w:szCs w:val="20"/>
          <w:color w:val="auto"/>
        </w:rPr>
      </w:pPr>
      <w:r>
        <w:rPr>
          <w:rFonts w:ascii="Arial" w:cs="Arial" w:eastAsia="Arial" w:hAnsi="Arial"/>
          <w:sz w:val="17"/>
          <w:szCs w:val="17"/>
          <w:color w:val="auto"/>
        </w:rPr>
        <w:t>We have never declared or paid any cash dividends on our common stock. We anticipate that we will continue to retain our earnings, if any, for use in the operation of our business. Accordingly, we do not expect to pay any cash dividends on our common stock for the foreseeable future.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Dilution</w:t>
      </w:r>
    </w:p>
    <w:p>
      <w:pPr>
        <w:spacing w:after="0" w:line="111"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If you invest in our common stock and warrants, you will experience dilution to the extent of the difference between the price per share you pay in this offering and the net tangible book value per share of our common stock immediately after this offering.</w:t>
      </w:r>
    </w:p>
    <w:p>
      <w:pPr>
        <w:spacing w:after="0" w:line="7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net tangible book value as of September 30, 2008 was approximately $17.2 million, or $0.21 per share of common stock. Net tangible book value per share is equal to our total tangible assets minus total liabilities, all divided by the number of shares of common stock outstanding as of September 30, 2008. Assuming we sell 13,793,104 shares of common stock, the maximum number of shares we are offering pursuant to this prospectus supplement, at an offering price of $1.45 per share, and after deducting our estimated placement agent fees and offering expenses payable by us, our as adjusted net tangible book value would have been approximately $35.7 million, or approximately $0.38 per share of common stock, as of September 30, 2008. This represents an immediate increase in net tangible book value of approximately $0.17 per share to existing stockholders and an immediate dilution of approximately $1.07 per share to new investors. The following table illustrates this calculation on a per share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for one share of common stock and one warrant to purchase 0.75 shares of common stock</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12"/>
        </w:trPr>
        <w:tc>
          <w:tcPr>
            <w:tcW w:w="20" w:type="dxa"/>
            <w:vAlign w:val="bottom"/>
          </w:tcPr>
          <w:p>
            <w:pPr>
              <w:spacing w:after="0"/>
              <w:rPr>
                <w:sz w:val="18"/>
                <w:szCs w:val="18"/>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September 30, 2008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the offering</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5"/>
        </w:trPr>
        <w:tc>
          <w:tcPr>
            <w:tcW w:w="928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color w:val="auto"/>
        </w:rPr>
        <w:t>Because there is no minimum offering amount required as a condition to the closing of this offering, the dilution per share to new investors may be more than that indicated above in the event that the actual number of units sold, if any, is less than the maximum number of units we are offering.</w:t>
      </w:r>
    </w:p>
    <w:p>
      <w:pPr>
        <w:spacing w:after="0" w:line="51"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The above illustration of dilution per share to investors participating in this offering assumes (i) no exercise of outstanding options to purchase our common stock or outstanding warrants to purchase shares of our common stock; and (ii) no exercise of the warrants offered hereby. The exercise of outstanding options and warrants having an exercise price less than the offering price will increase dilution to new investors.</w:t>
      </w:r>
    </w:p>
    <w:p>
      <w:pPr>
        <w:spacing w:after="0" w:line="66" w:lineRule="exact"/>
        <w:rPr>
          <w:sz w:val="20"/>
          <w:szCs w:val="20"/>
          <w:color w:val="auto"/>
        </w:rPr>
      </w:pPr>
    </w:p>
    <w:p>
      <w:pPr>
        <w:ind w:right="520"/>
        <w:spacing w:after="0" w:line="265" w:lineRule="auto"/>
        <w:rPr>
          <w:sz w:val="20"/>
          <w:szCs w:val="20"/>
          <w:color w:val="auto"/>
        </w:rPr>
      </w:pPr>
      <w:r>
        <w:rPr>
          <w:rFonts w:ascii="Arial" w:cs="Arial" w:eastAsia="Arial" w:hAnsi="Arial"/>
          <w:sz w:val="18"/>
          <w:szCs w:val="18"/>
          <w:color w:val="auto"/>
        </w:rPr>
        <w:t>Investors that purchase common stock upon the exercise of the warrants offered hereby may experience dilution depending on our net tangible book value (deficit) at the time of exercise.</w:t>
      </w:r>
    </w:p>
    <w:p>
      <w:pPr>
        <w:spacing w:after="0" w:line="73"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the 81,103,102 shares outstanding as of September 30, 2008 and excludes:</w:t>
      </w:r>
    </w:p>
    <w:p>
      <w:pPr>
        <w:spacing w:after="0" w:line="73" w:lineRule="exact"/>
        <w:rPr>
          <w:sz w:val="20"/>
          <w:szCs w:val="20"/>
          <w:color w:val="auto"/>
        </w:rPr>
      </w:pPr>
    </w:p>
    <w:p>
      <w:pPr>
        <w:ind w:left="660" w:right="140" w:hanging="429"/>
        <w:spacing w:after="0" w:line="265"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8,471,887 shares of our common stock subject to options outstanding as of September 30, 2008 having a weighted average exercise price of $2.33 per share;</w:t>
      </w:r>
    </w:p>
    <w:p>
      <w:pPr>
        <w:spacing w:after="0" w:line="86" w:lineRule="exact"/>
        <w:rPr>
          <w:rFonts w:ascii="Arial" w:cs="Arial" w:eastAsia="Arial" w:hAnsi="Arial"/>
          <w:sz w:val="18"/>
          <w:szCs w:val="18"/>
          <w:b w:val="1"/>
          <w:bCs w:val="1"/>
          <w:color w:val="auto"/>
        </w:rPr>
      </w:pPr>
    </w:p>
    <w:p>
      <w:pPr>
        <w:ind w:left="660" w:right="100" w:hanging="429"/>
        <w:spacing w:after="0" w:line="265"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1,650,000 shares of our common stock subject to outstanding restricted stock units as of September 30, 2008 having a weighted average grant date fair value of $1.26;</w:t>
      </w:r>
    </w:p>
    <w:p>
      <w:pPr>
        <w:spacing w:after="0" w:line="86" w:lineRule="exact"/>
        <w:rPr>
          <w:rFonts w:ascii="Arial" w:cs="Arial" w:eastAsia="Arial" w:hAnsi="Arial"/>
          <w:sz w:val="18"/>
          <w:szCs w:val="18"/>
          <w:b w:val="1"/>
          <w:bCs w:val="1"/>
          <w:color w:val="auto"/>
        </w:rPr>
      </w:pPr>
    </w:p>
    <w:p>
      <w:pPr>
        <w:ind w:left="660" w:right="220" w:hanging="429"/>
        <w:spacing w:after="0" w:line="265"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1,430,849 shares of our common stock subject to outstanding stock appreciation rights as of September 30, 2008 having a weighted average exercise price of $2.00;</w:t>
      </w:r>
    </w:p>
    <w:p>
      <w:pPr>
        <w:spacing w:after="0" w:line="86" w:lineRule="exact"/>
        <w:rPr>
          <w:rFonts w:ascii="Arial" w:cs="Arial" w:eastAsia="Arial" w:hAnsi="Arial"/>
          <w:sz w:val="18"/>
          <w:szCs w:val="18"/>
          <w:b w:val="1"/>
          <w:bCs w:val="1"/>
          <w:color w:val="auto"/>
        </w:rPr>
      </w:pPr>
    </w:p>
    <w:p>
      <w:pPr>
        <w:ind w:left="660" w:right="660" w:hanging="429"/>
        <w:spacing w:after="0" w:line="265"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4,624,826 shares of our common stock that have been reserved for issuance in connection with future grants under our stock option plans as of September 30, 2008;</w:t>
      </w:r>
    </w:p>
    <w:p>
      <w:pPr>
        <w:spacing w:after="0" w:line="86" w:lineRule="exact"/>
        <w:rPr>
          <w:rFonts w:ascii="Arial" w:cs="Arial" w:eastAsia="Arial" w:hAnsi="Arial"/>
          <w:sz w:val="18"/>
          <w:szCs w:val="18"/>
          <w:b w:val="1"/>
          <w:bCs w:val="1"/>
          <w:color w:val="auto"/>
        </w:rPr>
      </w:pPr>
    </w:p>
    <w:p>
      <w:pPr>
        <w:ind w:left="660" w:right="180" w:hanging="429"/>
        <w:spacing w:after="0" w:line="265"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1,255,000 shares of our common stock that have been reserved for issuance upon exercise of outstanding warrants as of September 30, 2008 having a weighted average exercise price of $1.90 per share; and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shares of common stock issuable upon the exercise of warrants offered hereby.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securities</w:t>
      </w:r>
    </w:p>
    <w:p>
      <w:pPr>
        <w:spacing w:after="0" w:line="111"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In this offering, we are offering a maximum of 13,793,104 units, each consisting of (i) one share of our common stock and (ii) a warrant to purchase up to 0.75 shares of our common stock at an exercise price of $2.30 per share.</w:t>
      </w:r>
    </w:p>
    <w:p>
      <w:pPr>
        <w:spacing w:after="0" w:line="73" w:lineRule="exact"/>
        <w:rPr>
          <w:sz w:val="20"/>
          <w:szCs w:val="20"/>
          <w:color w:val="auto"/>
        </w:rPr>
      </w:pPr>
    </w:p>
    <w:p>
      <w:pPr>
        <w:ind w:right="480"/>
        <w:spacing w:after="0" w:line="294" w:lineRule="auto"/>
        <w:rPr>
          <w:sz w:val="20"/>
          <w:szCs w:val="20"/>
          <w:color w:val="auto"/>
        </w:rPr>
      </w:pPr>
      <w:r>
        <w:rPr>
          <w:rFonts w:ascii="Arial" w:cs="Arial" w:eastAsia="Arial" w:hAnsi="Arial"/>
          <w:sz w:val="17"/>
          <w:szCs w:val="17"/>
          <w:color w:val="auto"/>
        </w:rPr>
        <w:t>Units will not be issued or certificated. The shares of common stock and warrants are immediately separable and will be issued separately. This prospectus supplement also relates to the offering of shares of our common stock issuable upon exercise, if any, of the 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material terms and provisions of our common stock are described under the caption “Description of Common Stock” starting on page 7 of the accompanying prospectus.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1"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color w:val="auto"/>
        </w:rPr>
        <w:t>The warrants offered in this offering will be issued pursuant to a subscription agreement between each of the purchasers and us. The following is a brief summary of the material terms of the warrants and is subject in all respects to the provisions contained in the warrants. The forms of warrants are being filed with a Current Report on Form 8-K and reference is made thereto for a complete description of the warrants.</w:t>
      </w:r>
    </w:p>
    <w:p>
      <w:pPr>
        <w:spacing w:after="0" w:line="66"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per share of common stock purchasable upon exercise of the warrants is $2.30 per share of common stock being purchased. If</w:t>
      </w:r>
      <w:r>
        <w:rPr>
          <w:rFonts w:ascii="Arial" w:cs="Arial" w:eastAsia="Arial" w:hAnsi="Arial"/>
          <w:sz w:val="18"/>
          <w:szCs w:val="18"/>
          <w:i w:val="1"/>
          <w:iCs w:val="1"/>
          <w:color w:val="auto"/>
        </w:rPr>
        <w:t xml:space="preserve"> </w:t>
      </w:r>
      <w:r>
        <w:rPr>
          <w:rFonts w:ascii="Arial" w:cs="Arial" w:eastAsia="Arial" w:hAnsi="Arial"/>
          <w:sz w:val="18"/>
          <w:szCs w:val="18"/>
          <w:color w:val="auto"/>
        </w:rPr>
        <w:t>we, at any time while the warrants are outstanding, pay a stock dividend on our common stock or otherwise make a distribution on any class of capital stock that is payable in shares of our common stock, subdivide outstanding shares of our common stock into a larger number of shares or combine the outstanding shares of our common stock into a smaller number of shares, then, the number, class and type of shares available under the warrants and the exercise price will be correspondingly adjusted to give the holder of the warrants, on exercise for the same aggregate exercise price, the total number, class, and type of shares or other property as the holder would have owned had the warrants been exercised prior to the event and had the holder continued to hold such shares until the event requiring adjustment.</w:t>
      </w:r>
    </w:p>
    <w:p>
      <w:pPr>
        <w:spacing w:after="0" w:line="88"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Holders may exercise the warrants beginning on the date that is six months after the date of original issuance and at any time up to the date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after such date the warrants become exercisable.</w:t>
      </w:r>
    </w:p>
    <w:p>
      <w:pPr>
        <w:spacing w:after="0" w:line="7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i w:val="1"/>
          <w:iCs w:val="1"/>
          <w:color w:val="auto"/>
        </w:rPr>
        <w:t>Cashless Exercise</w:t>
      </w:r>
      <w:r>
        <w:rPr>
          <w:rFonts w:ascii="Arial" w:cs="Arial" w:eastAsia="Arial" w:hAnsi="Arial"/>
          <w:sz w:val="18"/>
          <w:szCs w:val="18"/>
          <w:color w:val="auto"/>
        </w:rPr>
        <w:t>. If at any time during the warrant exercisability period the fair market value of our common stock exceeds the exercise price of the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issuance of shares of our common stock upon exercise of the warrant is not covered by an effective registration statement, we or the holder are permitted to effect a cashless exercise of the warrants (in whole or in part) by having the holder surrendering the warrants to us, together with delivery to us of a duly executed exercise notice, canceling a portion of the warrant in payment of the purchase price payable in respect of the number of shares of our common stock purchased upon such exercise.</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Transferability. </w:t>
      </w:r>
      <w:r>
        <w:rPr>
          <w:rFonts w:ascii="Arial" w:cs="Arial" w:eastAsia="Arial" w:hAnsi="Arial"/>
          <w:sz w:val="15"/>
          <w:szCs w:val="15"/>
          <w:color w:val="auto"/>
        </w:rPr>
        <w:t>The warrants may be transferred at the option of the warrant holder upon surrender of the warrants with the appropriate instruments of transfer.</w:t>
      </w:r>
    </w:p>
    <w:p>
      <w:pPr>
        <w:spacing w:after="0" w:line="146" w:lineRule="exact"/>
        <w:rPr>
          <w:sz w:val="20"/>
          <w:szCs w:val="20"/>
          <w:color w:val="auto"/>
        </w:rPr>
      </w:pPr>
    </w:p>
    <w:p>
      <w:pPr>
        <w:ind w:right="660"/>
        <w:spacing w:after="0" w:line="265" w:lineRule="auto"/>
        <w:rPr>
          <w:sz w:val="20"/>
          <w:szCs w:val="20"/>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We do not plan on making an application to list the warrants on The Nasdaq Global Market, any national securities exchange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nationally recognized trading system.</w:t>
      </w:r>
    </w:p>
    <w:p>
      <w:pPr>
        <w:spacing w:after="0" w:line="73" w:lineRule="exact"/>
        <w:rPr>
          <w:sz w:val="20"/>
          <w:szCs w:val="20"/>
          <w:color w:val="auto"/>
        </w:rPr>
      </w:pPr>
    </w:p>
    <w:p>
      <w:pPr>
        <w:ind w:right="120"/>
        <w:spacing w:after="0" w:line="366" w:lineRule="auto"/>
        <w:rPr>
          <w:sz w:val="20"/>
          <w:szCs w:val="20"/>
          <w:color w:val="auto"/>
        </w:rPr>
      </w:pPr>
      <w:r>
        <w:rPr>
          <w:rFonts w:ascii="Arial" w:cs="Arial" w:eastAsia="Arial" w:hAnsi="Arial"/>
          <w:sz w:val="15"/>
          <w:szCs w:val="15"/>
          <w:i w:val="1"/>
          <w:iCs w:val="1"/>
          <w:color w:val="auto"/>
        </w:rPr>
        <w:t xml:space="preserve">Rights as a Stockholder. </w:t>
      </w:r>
      <w:r>
        <w:rPr>
          <w:rFonts w:ascii="Arial" w:cs="Arial" w:eastAsia="Arial" w:hAnsi="Arial"/>
          <w:sz w:val="15"/>
          <w:szCs w:val="15"/>
          <w:color w:val="auto"/>
        </w:rPr>
        <w:t>Except as otherwise provided in the warrants or by virtue of such holder’s ownership of shares of our common stock, the holders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warrants do not have the rights or privileges of holders of our common stock, including any voting rights, until they exercise their warrants.</w:t>
      </w:r>
    </w:p>
    <w:p>
      <w:pPr>
        <w:spacing w:after="0" w:line="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i w:val="1"/>
          <w:iCs w:val="1"/>
          <w:color w:val="auto"/>
        </w:rPr>
        <w:t xml:space="preserve">Fundamental Transactions. </w:t>
      </w:r>
      <w:r>
        <w:rPr>
          <w:rFonts w:ascii="Arial" w:cs="Arial" w:eastAsia="Arial" w:hAnsi="Arial"/>
          <w:sz w:val="18"/>
          <w:szCs w:val="18"/>
          <w:color w:val="auto"/>
        </w:rPr>
        <w:t>In the event of any fundamental transaction, as described in the warrants and generally including any merger with another entity,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 transfer or other disposition of all or substantially all of our assets to another entity, or the acquisition by a person of more than 50% of our common stock, then the holders of the warrants will thereafter have the right to receive upon exercise of the warrants such shares of stock, securities or assets as would have been issuable or payable with respect to or in exchange for a number of shares of our common stock equal to the number of shares of our common stock issuable upon exercise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of the warrants immediately prior to the fundamental transaction, had the fundamental transaction not taken place, and appropriate provision will be made so that the provisions of the warrants (including, for example, provisions relating to the adjustment of the exercise price) will thereafter be applicable, as nearly equivalent as may be practicable in relation to any share of stock, securities or assets deliverable upon the exercise of the warrants after the fundamental transaction. In lieu of the right to receive upon exercise the shares of stock securities or assets as would have been issuable or payable with respect to or in exchange for a number of shares of our common stock, the holders of the warrants may require us to redeem the warrant for a purchase price payable in cash of the Black-Scholes value of the warrant, as calculated pursuant to the terms of the warrant.</w:t>
      </w:r>
    </w:p>
    <w:p>
      <w:pPr>
        <w:spacing w:after="0" w:line="74"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i w:val="1"/>
          <w:iCs w:val="1"/>
          <w:color w:val="auto"/>
        </w:rPr>
        <w:t>Limits on Exercise of Warrants</w:t>
      </w:r>
      <w:r>
        <w:rPr>
          <w:rFonts w:ascii="Arial" w:cs="Arial" w:eastAsia="Arial" w:hAnsi="Arial"/>
          <w:sz w:val="18"/>
          <w:szCs w:val="18"/>
          <w:color w:val="auto"/>
        </w:rPr>
        <w:t>. Except upon at least 61 days’ prior notice from the holder to us, the holder will not have the right to exercise any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 if the holder, together with its affiliates, would beneficially own in excess of 4.99% of the number of shares of our common stock (including securities convertible into common stock) outstanding immediately after the exercise.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Plan of distribution</w:t>
      </w:r>
    </w:p>
    <w:p>
      <w:pPr>
        <w:spacing w:after="0" w:line="11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Pursuant to a placement agency agreement between us and Susquehanna Financial Group, LLLP and Dawson James Securities, Inc. we have engaged Susquehanna Financial Group, LLLP and Dawson James Securities, Inc. as our exclusive co-placement agents in connection with this offering. The placement agents are not purchasing or selling any of the units we are offering, and they are not required to arrange the purchase or sale of any specific number of units or dollar amount, but they have agreed to use commercially reasonable efforts to arrange for the sale of the units.</w:t>
      </w:r>
    </w:p>
    <w:p>
      <w:pPr>
        <w:spacing w:after="0" w:line="7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placement agents propose to arrange for the sale of the units we are offering pursuant to this prospectus supplement to one or more investors through subscription agreements directly between the purchasers and us. All of the units will be sold at the same price and, we expect, at a single closing. We established the price following negotiations with prospective investors and with reference to the prevailing market price of our common stock, recent trends in such price and other factors. It is possible that not all of the units we are offering pursuant to this prospectus supplement will be sold at the closing, in which case our net proceeds would be reduced. We expect that the sale of the units will be completed on the date indicated on the cover page of this prospectus supplement.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this offering, the placement agents may distribute this prospectus supplement and the accompanying prospectus electronically.</w:t>
      </w:r>
    </w:p>
    <w:p>
      <w:pPr>
        <w:spacing w:after="0" w:line="123" w:lineRule="exact"/>
        <w:rPr>
          <w:sz w:val="20"/>
          <w:szCs w:val="20"/>
          <w:color w:val="auto"/>
        </w:rPr>
      </w:pPr>
    </w:p>
    <w:p>
      <w:pPr>
        <w:ind w:right="160"/>
        <w:spacing w:after="0" w:line="366" w:lineRule="auto"/>
        <w:rPr>
          <w:sz w:val="20"/>
          <w:szCs w:val="20"/>
          <w:color w:val="auto"/>
        </w:rPr>
      </w:pPr>
      <w:r>
        <w:rPr>
          <w:rFonts w:ascii="Arial" w:cs="Arial" w:eastAsia="Arial" w:hAnsi="Arial"/>
          <w:sz w:val="15"/>
          <w:szCs w:val="15"/>
          <w:color w:val="auto"/>
        </w:rPr>
        <w:t>We will pay the placement agents a placement agent fee equal to 6.0% of the gross proceeds of this offering. The following table shows the per share and total placement agent fees we will pay to the placement agents in connection with the sale of the units, assuming the purchase of all of the units we are offering.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20" w:type="dxa"/>
            <w:vAlign w:val="bottom"/>
          </w:tcPr>
          <w:p>
            <w:pPr>
              <w:jc w:val="right"/>
              <w:ind w:right="4672"/>
              <w:spacing w:after="0"/>
              <w:rPr>
                <w:sz w:val="20"/>
                <w:szCs w:val="20"/>
                <w:color w:val="auto"/>
              </w:rPr>
            </w:pPr>
            <w:r>
              <w:rPr>
                <w:rFonts w:ascii="Arial" w:cs="Arial" w:eastAsia="Arial" w:hAnsi="Arial"/>
                <w:sz w:val="18"/>
                <w:szCs w:val="18"/>
                <w:color w:val="auto"/>
                <w:w w:val="86"/>
              </w:rPr>
              <w:t>Per unit</w:t>
            </w:r>
          </w:p>
        </w:tc>
        <w:tc>
          <w:tcPr>
            <w:tcW w:w="48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0.087</w:t>
            </w:r>
          </w:p>
        </w:tc>
      </w:tr>
      <w:tr>
        <w:trPr>
          <w:trHeight w:val="223"/>
        </w:trPr>
        <w:tc>
          <w:tcPr>
            <w:tcW w:w="5320" w:type="dxa"/>
            <w:vAlign w:val="bottom"/>
          </w:tcPr>
          <w:p>
            <w:pPr>
              <w:jc w:val="right"/>
              <w:ind w:right="4672"/>
              <w:spacing w:after="0"/>
              <w:rPr>
                <w:sz w:val="20"/>
                <w:szCs w:val="20"/>
                <w:color w:val="auto"/>
              </w:rPr>
            </w:pPr>
            <w:r>
              <w:rPr>
                <w:rFonts w:ascii="Arial" w:cs="Arial" w:eastAsia="Arial" w:hAnsi="Arial"/>
                <w:sz w:val="18"/>
                <w:szCs w:val="18"/>
                <w:color w:val="auto"/>
              </w:rPr>
              <w:t>Total</w:t>
            </w:r>
          </w:p>
        </w:tc>
        <w:tc>
          <w:tcPr>
            <w:tcW w:w="48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1,200,000.05</w:t>
            </w:r>
          </w:p>
        </w:tc>
      </w:tr>
    </w:tbl>
    <w:p>
      <w:pPr>
        <w:spacing w:after="0" w:line="95"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We estimate the total expenses of this offering which will be payable by us, excluding the placement agent fees, will be approximately $300,000. We may also reimburse the placement agents for certain fees and legal expenses reasonably incurred by them. In no event will the total amount of compensation paid to the placement agents and other securities brokers and dealers upon completion of this offering exceed 8% of the gross proceeds of the offering. The estimated offering expenses payable by us, in addition to the placement agent fees of $1.2 million, are approximately $1.5 million, which includes legal, accounting and printing costs and various other fees associated with registering and listing the common stock. After deducting certain fees due to the placement agents and our estimated offering expenses, we expect the net proceeds from this offering to be approximately $18.5 million.</w:t>
      </w:r>
    </w:p>
    <w:p>
      <w:pPr>
        <w:spacing w:after="0" w:line="4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have agreed to indemnify the placement agents against certain liabilities, including liabilities under the Securities Act of 1933, as amended, and liabilities arising from breaches and representations and warranties contained in the placement agency agreement. We have also agreed to contribute to payments the placement agents may be required to make in respect of such liabilities.</w:t>
      </w:r>
    </w:p>
    <w:p>
      <w:pPr>
        <w:spacing w:after="0" w:line="83"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We, along with our executive officers and directors, have agreed to certain lock-up provisions with regard to future sales of our common stock for a period of ninety (90) days after the offering as set forth in the placement agency agreement.</w:t>
      </w:r>
    </w:p>
    <w:p>
      <w:pPr>
        <w:spacing w:after="0" w:line="73"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The placement agency agreement is included as an exhibit to our Current Report on Form 8-K that we will file with the Commission in connection with this offering.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17"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We and our executive officers and directors have entered into lock-up agreements with the placement agents. Under these agreements, we and each of these persons may not, without the prior written approval of the placement agents, subject to exceptions, offer, sell, contract to sell or otherwise dispose of or hedge our common stock or securities convertible into or exercisable or exchangeable for our common stock. These restrictions will be in effect for a period of 90 days after the date of this prospectus supplement. However, these restrictions do not prohibit us from issuing securities in connection with a partnership, research, licensing, collaboration, joint venture or similar arrangement, or an acquisition of another business or entity or its stock, assets or technology. At any time and without public notice, Susquehanna Financial Group, LLLP may in its sole discretion release all or some of the securities from these lock-up agreements.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quoted on The Nasdaq Global Market under the symbol “STEM.”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this offering, the placement agents may engage in activities that stabilize, maintain or otherwise affect the price of our common stock. These activities may maintain the market price of our common stock at a level above that which might otherwise prevail in the open market. The placement agents are not required to engage in these activities and, if commenced, may end any of these activities at any time. The placement agents may carry out these transactions on The Nasdaq Global Market, in the over-the-counter market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117"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The placement agents and their affiliates may provide certain commercial banking, financial advisory or investment banking services for us for which they receive fees. The placement agents and their affiliates may from time to time in the future engage in transactions with us and perform services for us in the ordinary course of their business.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Where you can find more information</w:t>
      </w:r>
    </w:p>
    <w:p>
      <w:pPr>
        <w:spacing w:after="0" w:line="1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The SEC’s website contains reports, proxy and information statements and other information regarding issuers, such as us, that file electronically with the SEC. You may also read and copy any document we file with the SEC at the SEC’s Public Reference Room at 100 F Street, N.E., Room 1580, Washington, D.C. 20549. You may also obtain copies of these documents at prescribed rates by writing to the SEC. Please call the SEC at 1-800-SEC-0330 for further information on the operation of its Public Reference Room.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Incorporation of certain documents by reference</w:t>
      </w:r>
    </w:p>
    <w:p>
      <w:pPr>
        <w:spacing w:after="0" w:line="111"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The SEC allows us to “incorporate by reference” into this prospectus supplement the information we have filed with the SEC. The information we incorporate by reference into this prospectus supplement is an important part of this prospectus supplement. Any statement in a document we incorporate by reference into this prospectus supplement or the accompanying prospectus will be considered to be modified or superseded to the extent a statement contained in this prospectus supplement or any other subsequently filed document that is incorporated by reference into this prospectus supplement modifies or supersedes that statement. The modified or superseded statement will not be considered to be a part of this prospectus supplement or accompanying prospectus, as applicable, except as modified or superseded.</w:t>
      </w:r>
    </w:p>
    <w:p>
      <w:pPr>
        <w:spacing w:after="0" w:line="90"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We incorporate by reference into this prospectus supplement the information contained in the documents listed below, which is considered to be a part of this prospectus supplement:</w:t>
      </w:r>
    </w:p>
    <w:p>
      <w:pPr>
        <w:spacing w:after="0" w:line="73" w:lineRule="exact"/>
        <w:rPr>
          <w:sz w:val="20"/>
          <w:szCs w:val="20"/>
          <w:color w:val="auto"/>
        </w:rPr>
      </w:pPr>
    </w:p>
    <w:p>
      <w:pPr>
        <w:ind w:left="660" w:right="420" w:hanging="429"/>
        <w:spacing w:after="0" w:line="265"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for the year ended December 31, 2007, including any amendment filed for the purpose of updating such Annual Report;</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Quarterly Reports on Form 10-Q for the quarterly periods ending March 31, 2008, June 30, 2008 and September 30, 2008;</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Current Reports on Form 8-K filed with the SEC on March 5, 2008, March 21, 2008 and May 13, 2008;</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Proxy Statement of Schedule 14A filed with the SEC on June 9, 2008; and</w:t>
      </w:r>
    </w:p>
    <w:p>
      <w:pPr>
        <w:spacing w:after="0" w:line="124" w:lineRule="exact"/>
        <w:rPr>
          <w:rFonts w:ascii="Arial" w:cs="Arial" w:eastAsia="Arial" w:hAnsi="Arial"/>
          <w:sz w:val="18"/>
          <w:szCs w:val="18"/>
          <w:b w:val="1"/>
          <w:bCs w:val="1"/>
          <w:color w:val="auto"/>
        </w:rPr>
      </w:pPr>
    </w:p>
    <w:p>
      <w:pPr>
        <w:ind w:left="660" w:right="540" w:hanging="429"/>
        <w:spacing w:after="0" w:line="265"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description of our common stock and related rights contained in our registration statements on Form 8-A (file no. 000-19871) filed under the Exchange Act, including any amendment or report filed for the purpose of updating such description.</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incorporate by reference all documents filed pursuant to Sections 13(a), 13(c), 14 or 15(d) of the Exchange Act after the date of this prospectus supplement and prior to the termination of this offering; provided, however, that we are not incorporating any information furnished under Item 2.02 or Item 7.01 of any current report on Form 8-K we may subsequently file.</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Statements made in this prospectus supplement or the accompanying prospectus or in any document incorporated by reference in this prospectus supplement or the accompanying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material respects by such reference.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StemCells,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3155 Porter Drive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Palo Alto, CA 94304</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(650) 475-3100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irpr@stemcellsinc.com</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Copies of these filings are also available, without charge, on our Internet website at </w:t>
      </w:r>
      <w:r>
        <w:rPr>
          <w:rFonts w:ascii="Arial" w:cs="Arial" w:eastAsia="Arial" w:hAnsi="Arial"/>
          <w:sz w:val="15"/>
          <w:szCs w:val="15"/>
          <w:i w:val="1"/>
          <w:iCs w:val="1"/>
          <w:color w:val="auto"/>
        </w:rPr>
        <w:t>www.stemcellsinc.com</w:t>
      </w:r>
      <w:r>
        <w:rPr>
          <w:rFonts w:ascii="Arial" w:cs="Arial" w:eastAsia="Arial" w:hAnsi="Arial"/>
          <w:sz w:val="15"/>
          <w:szCs w:val="15"/>
          <w:color w:val="auto"/>
        </w:rPr>
        <w:t xml:space="preserve"> after they are filed electronically with the SEC.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Legal matters</w:t>
      </w:r>
    </w:p>
    <w:p>
      <w:pPr>
        <w:spacing w:after="0" w:line="111"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Various legal matters with respect to the validity of the shares of common stock and the warrants offered by this prospectus supplement will be passed upon for us by Ropes &amp; Gray LLP. Pillsbury Winthrop Shaw Pittman LLP is counsel for the placement agents in connection with this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Experts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audited by Grant Thornton LLP, independent registered public accountants, as indicated in their reports with respect thereto, and are included herein in reliance upon the authority of said firm as experts in giving said reports.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1002665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238760</wp:posOffset>
            </wp:positionV>
            <wp:extent cx="1936750" cy="379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36750" cy="37909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$100,000,000</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STEMCELLS, INC.</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Common Stock</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Preferred Stock</w:t>
      </w:r>
    </w:p>
    <w:p>
      <w:pPr>
        <w:jc w:val="center"/>
        <w:ind w:right="-39"/>
        <w:spacing w:after="0" w:line="237" w:lineRule="auto"/>
        <w:rPr>
          <w:sz w:val="20"/>
          <w:szCs w:val="20"/>
          <w:color w:val="auto"/>
        </w:rPr>
      </w:pPr>
      <w:r>
        <w:rPr>
          <w:rFonts w:ascii="Arial" w:cs="Arial" w:eastAsia="Arial" w:hAnsi="Arial"/>
          <w:sz w:val="21"/>
          <w:szCs w:val="21"/>
          <w:color w:val="auto"/>
        </w:rPr>
        <w:t>Warrants</w:t>
      </w:r>
    </w:p>
    <w:p>
      <w:pPr>
        <w:jc w:val="center"/>
        <w:ind w:right="-39"/>
        <w:spacing w:after="0"/>
        <w:rPr>
          <w:sz w:val="20"/>
          <w:szCs w:val="20"/>
          <w:color w:val="auto"/>
        </w:rPr>
      </w:pPr>
      <w:r>
        <w:rPr>
          <w:rFonts w:ascii="Arial" w:cs="Arial" w:eastAsia="Arial" w:hAnsi="Arial"/>
          <w:sz w:val="21"/>
          <w:szCs w:val="2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185420</wp:posOffset>
            </wp:positionV>
            <wp:extent cx="1877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offer to the public, from time to time, in one or more series or issuances:</w:t>
      </w:r>
    </w:p>
    <w:p>
      <w:pPr>
        <w:spacing w:after="0" w:line="111" w:lineRule="exact"/>
        <w:rPr>
          <w:sz w:val="20"/>
          <w:szCs w:val="20"/>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shares of our common stock;</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shares of our preferred stock;</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warrants to purchase shares of our common stock, preferred stock and/or debt securities; or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debt securities consisting of debentures, notes or other evidences of indebtedness.</w:t>
      </w:r>
    </w:p>
    <w:p>
      <w:pPr>
        <w:spacing w:after="0" w:line="111" w:lineRule="exact"/>
        <w:rPr>
          <w:sz w:val="20"/>
          <w:szCs w:val="20"/>
          <w:color w:val="auto"/>
        </w:rPr>
      </w:pPr>
    </w:p>
    <w:p>
      <w:pPr>
        <w:ind w:firstLine="218"/>
        <w:spacing w:after="0" w:line="312" w:lineRule="auto"/>
        <w:rPr>
          <w:sz w:val="20"/>
          <w:szCs w:val="20"/>
          <w:color w:val="auto"/>
        </w:rPr>
      </w:pPr>
      <w:r>
        <w:rPr>
          <w:rFonts w:ascii="Arial" w:cs="Arial" w:eastAsia="Arial" w:hAnsi="Arial"/>
          <w:sz w:val="15"/>
          <w:szCs w:val="15"/>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this prospectus. You should read this prospectus and the applicable prospectus supplement carefully before you invest in any securities. This prospectus may not be used to consummate a sale of securities unless accompanied by an applicable prospectus supplement. You should read both this prospectus and any prospectus supplement together with additional information described under the heading “Where You Can Find More Information” before you make your investment decision.</w:t>
      </w:r>
    </w:p>
    <w:p>
      <w:pPr>
        <w:spacing w:after="0" w:line="46"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We will sell these securities directly to our stockholders or to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83"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Our common stock is traded on the Nasdaq Global Market under the symbol “STEM.” On June 11, 2008, the closing price of our common stock was $1.37 per share.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Investing in our securities involves risks. See “Risk Factors” on page 3</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296545</wp:posOffset>
            </wp:positionV>
            <wp:extent cx="18776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60" w:firstLine="221"/>
        <w:spacing w:after="0" w:line="27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252730</wp:posOffset>
            </wp:positionV>
            <wp:extent cx="1877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July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60" w:type="dxa"/>
            <w:vAlign w:val="bottom"/>
            <w:gridSpan w:val="3"/>
          </w:tcPr>
          <w:p>
            <w:pPr>
              <w:ind w:left="6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9"/>
        </w:trPr>
        <w:tc>
          <w:tcPr>
            <w:tcW w:w="1560" w:type="dxa"/>
            <w:vAlign w:val="bottom"/>
            <w:gridSpan w:val="6"/>
            <w:vMerge w:val="restart"/>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About this Prospectus</w:t>
              </w:r>
            </w:hyperlink>
          </w:p>
        </w:tc>
        <w:tc>
          <w:tcPr>
            <w:tcW w:w="2600" w:type="dxa"/>
            <w:vAlign w:val="bottom"/>
            <w:gridSpan w:val="10"/>
            <w:vMerge w:val="restart"/>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0000EE"/>
            </w:tcBorders>
            <w:gridSpan w:val="6"/>
            <w:vMerge w:val="continue"/>
          </w:tcPr>
          <w:p>
            <w:pPr>
              <w:spacing w:after="0"/>
              <w:rPr>
                <w:sz w:val="14"/>
                <w:szCs w:val="14"/>
                <w:color w:val="auto"/>
              </w:rPr>
            </w:pPr>
          </w:p>
        </w:tc>
        <w:tc>
          <w:tcPr>
            <w:tcW w:w="2600" w:type="dxa"/>
            <w:vAlign w:val="bottom"/>
            <w:gridSpan w:val="10"/>
            <w:vMerge w:val="continue"/>
          </w:tcPr>
          <w:p>
            <w:pPr>
              <w:spacing w:after="0"/>
              <w:rPr>
                <w:sz w:val="14"/>
                <w:szCs w:val="14"/>
                <w:color w:val="auto"/>
              </w:rPr>
            </w:pPr>
          </w:p>
        </w:tc>
        <w:tc>
          <w:tcPr>
            <w:tcW w:w="6700" w:type="dxa"/>
            <w:vAlign w:val="bottom"/>
          </w:tcPr>
          <w:p>
            <w:pPr>
              <w:spacing w:after="0"/>
              <w:rPr>
                <w:sz w:val="14"/>
                <w:szCs w:val="14"/>
                <w:color w:val="auto"/>
              </w:rPr>
            </w:pPr>
          </w:p>
        </w:tc>
        <w:tc>
          <w:tcPr>
            <w:tcW w:w="3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0000EE"/>
            </w:tcBorders>
            <w:gridSpan w:val="7"/>
          </w:tcPr>
          <w:p>
            <w:pPr>
              <w:spacing w:after="0" w:line="192"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About StemCells, Inc.</w:t>
              </w:r>
            </w:hyperlink>
          </w:p>
        </w:tc>
        <w:tc>
          <w:tcPr>
            <w:tcW w:w="2580" w:type="dxa"/>
            <w:vAlign w:val="bottom"/>
            <w:gridSpan w:val="9"/>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2"/>
        </w:trPr>
        <w:tc>
          <w:tcPr>
            <w:tcW w:w="900" w:type="dxa"/>
            <w:vAlign w:val="bottom"/>
            <w:tcBorders>
              <w:bottom w:val="single" w:sz="8" w:color="0000EE"/>
            </w:tcBorders>
            <w:gridSpan w:val="2"/>
          </w:tcPr>
          <w:p>
            <w:pPr>
              <w:spacing w:after="0" w:line="192"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3260" w:type="dxa"/>
            <w:vAlign w:val="bottom"/>
            <w:gridSpan w:val="14"/>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Note Regarding Forward-Looking Statements</w:t>
              </w:r>
            </w:hyperlink>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Use of Proceeds</w:t>
              </w:r>
            </w:hyperlink>
          </w:p>
        </w:tc>
        <w:tc>
          <w:tcPr>
            <w:tcW w:w="2080" w:type="dxa"/>
            <w:vAlign w:val="bottom"/>
            <w:tcBorders>
              <w:top w:val="single" w:sz="8" w:color="0000EE"/>
            </w:tcBorders>
            <w:gridSpan w:val="10"/>
          </w:tcPr>
          <w:p>
            <w:pPr>
              <w:spacing w:after="0"/>
              <w:rPr>
                <w:sz w:val="16"/>
                <w:szCs w:val="16"/>
                <w:color w:val="auto"/>
              </w:rPr>
            </w:pPr>
          </w:p>
        </w:tc>
        <w:tc>
          <w:tcPr>
            <w:tcW w:w="920" w:type="dxa"/>
            <w:vAlign w:val="bottom"/>
            <w:gridSpan w:val="2"/>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142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Plan of Distribution</w:t>
              </w:r>
            </w:hyperlink>
          </w:p>
        </w:tc>
        <w:tc>
          <w:tcPr>
            <w:tcW w:w="1080" w:type="dxa"/>
            <w:vAlign w:val="bottom"/>
            <w:tcBorders>
              <w:top w:val="single" w:sz="8" w:color="0000EE"/>
            </w:tcBorders>
            <w:gridSpan w:val="7"/>
          </w:tcPr>
          <w:p>
            <w:pPr>
              <w:spacing w:after="0"/>
              <w:rPr>
                <w:sz w:val="16"/>
                <w:szCs w:val="16"/>
                <w:color w:val="auto"/>
              </w:rPr>
            </w:pPr>
          </w:p>
        </w:tc>
        <w:tc>
          <w:tcPr>
            <w:tcW w:w="1660" w:type="dxa"/>
            <w:vAlign w:val="bottom"/>
            <w:gridSpan w:val="4"/>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0000EE"/>
            </w:tcBorders>
            <w:gridSpan w:val="11"/>
          </w:tcPr>
          <w:p>
            <w:pPr>
              <w:spacing w:after="0" w:line="192"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Description of Common Stock</w:t>
              </w:r>
            </w:hyperlink>
          </w:p>
        </w:tc>
        <w:tc>
          <w:tcPr>
            <w:tcW w:w="1960" w:type="dxa"/>
            <w:vAlign w:val="bottom"/>
            <w:gridSpan w:val="5"/>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0000EE"/>
            </w:tcBorders>
            <w:gridSpan w:val="10"/>
          </w:tcPr>
          <w:p>
            <w:pPr>
              <w:spacing w:after="0" w:line="19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Description of Preferred Stock</w:t>
              </w:r>
            </w:hyperlink>
          </w:p>
        </w:tc>
        <w:tc>
          <w:tcPr>
            <w:tcW w:w="1980" w:type="dxa"/>
            <w:vAlign w:val="bottom"/>
            <w:gridSpan w:val="6"/>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0000EE"/>
            </w:tcBorders>
            <w:gridSpan w:val="8"/>
          </w:tcPr>
          <w:p>
            <w:pPr>
              <w:spacing w:after="0" w:line="19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Description of Warrants</w:t>
              </w:r>
            </w:hyperlink>
          </w:p>
        </w:tc>
        <w:tc>
          <w:tcPr>
            <w:tcW w:w="2460" w:type="dxa"/>
            <w:vAlign w:val="bottom"/>
            <w:gridSpan w:val="8"/>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0000EE"/>
            </w:tcBorders>
            <w:gridSpan w:val="9"/>
          </w:tcPr>
          <w:p>
            <w:pPr>
              <w:spacing w:after="0" w:line="192"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Description of Debt Securities</w:t>
              </w:r>
            </w:hyperlink>
          </w:p>
        </w:tc>
        <w:tc>
          <w:tcPr>
            <w:tcW w:w="2000" w:type="dxa"/>
            <w:vAlign w:val="bottom"/>
            <w:gridSpan w:val="7"/>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0000EE"/>
            </w:tcBorders>
            <w:gridSpan w:val="13"/>
          </w:tcPr>
          <w:p>
            <w:pPr>
              <w:spacing w:after="0" w:line="192"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Where You Can Find More Information</w:t>
              </w:r>
            </w:hyperlink>
          </w:p>
        </w:tc>
        <w:tc>
          <w:tcPr>
            <w:tcW w:w="1340" w:type="dxa"/>
            <w:vAlign w:val="bottom"/>
            <w:gridSpan w:val="3"/>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0000EE"/>
            </w:tcBorders>
            <w:gridSpan w:val="15"/>
          </w:tcPr>
          <w:p>
            <w:pPr>
              <w:spacing w:after="0" w:line="19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Incorporation of Certain Documents by Reference</w:t>
              </w:r>
            </w:hyperlink>
          </w:p>
        </w:tc>
        <w:tc>
          <w:tcPr>
            <w:tcW w:w="600" w:type="dxa"/>
            <w:vAlign w:val="bottom"/>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0000EE"/>
            </w:tcBorders>
            <w:gridSpan w:val="3"/>
          </w:tcPr>
          <w:p>
            <w:pPr>
              <w:spacing w:after="0" w:line="19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Legal Matters</w:t>
              </w:r>
            </w:hyperlink>
          </w:p>
        </w:tc>
        <w:tc>
          <w:tcPr>
            <w:tcW w:w="3160" w:type="dxa"/>
            <w:vAlign w:val="bottom"/>
            <w:gridSpan w:val="13"/>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firstLine="214"/>
        <w:spacing w:after="0" w:line="271" w:lineRule="auto"/>
        <w:rPr>
          <w:sz w:val="20"/>
          <w:szCs w:val="20"/>
          <w:color w:val="auto"/>
        </w:rPr>
      </w:pPr>
      <w:r>
        <w:rPr>
          <w:rFonts w:ascii="Arial" w:cs="Arial" w:eastAsia="Arial" w:hAnsi="Arial"/>
          <w:sz w:val="17"/>
          <w:szCs w:val="17"/>
          <w:color w:val="auto"/>
        </w:rPr>
        <w:t>You should rely only on the information contained in this prospectus. We have not authorized anyone to give you information different from that contained in this prospectus. We are not making an offer to sell these securities in any jurisdiction where the offer is not permitted. The information contained in this prospectus is accurate only as of the date on the front cover of this prospectus, regardless of when this prospectus is delivered or when any sale of our securities occurs.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43"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17" w:lineRule="exact"/>
        <w:rPr>
          <w:sz w:val="20"/>
          <w:szCs w:val="20"/>
          <w:color w:val="auto"/>
        </w:rPr>
      </w:pPr>
    </w:p>
    <w:p>
      <w:pPr>
        <w:ind w:firstLine="218"/>
        <w:spacing w:after="0" w:line="309" w:lineRule="auto"/>
        <w:rPr>
          <w:sz w:val="20"/>
          <w:szCs w:val="20"/>
          <w:color w:val="auto"/>
        </w:rPr>
      </w:pPr>
      <w:r>
        <w:rPr>
          <w:rFonts w:ascii="Arial" w:cs="Arial" w:eastAsia="Arial" w:hAnsi="Arial"/>
          <w:sz w:val="15"/>
          <w:szCs w:val="15"/>
          <w:color w:val="auto"/>
        </w:rPr>
        <w:t>This prospectus is a part of a registration statement that we filed with the Securities and Exchange Commission, or the SEC, using a “shelf” registration process. Under this shelf registration process, we may offer to sell any combination of the securities described in this prospectus in one or more offerings up to a total dollar amount of $100,000,000.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You should read both this prospectus and any prospectus supplement, including all documents incorporated herein or therein by reference, together with additional information described under “Where You Can Find More Information.”</w:t>
      </w:r>
    </w:p>
    <w:p>
      <w:pPr>
        <w:spacing w:after="0" w:line="46" w:lineRule="exact"/>
        <w:rPr>
          <w:sz w:val="20"/>
          <w:szCs w:val="20"/>
          <w:color w:val="auto"/>
        </w:rPr>
      </w:pPr>
    </w:p>
    <w:p>
      <w:pPr>
        <w:ind w:firstLine="218"/>
        <w:spacing w:after="0" w:line="305" w:lineRule="auto"/>
        <w:rPr>
          <w:sz w:val="20"/>
          <w:szCs w:val="20"/>
          <w:color w:val="auto"/>
        </w:rPr>
      </w:pPr>
      <w:r>
        <w:rPr>
          <w:rFonts w:ascii="Arial" w:cs="Arial" w:eastAsia="Arial" w:hAnsi="Arial"/>
          <w:sz w:val="15"/>
          <w:szCs w:val="15"/>
          <w:color w:val="auto"/>
        </w:rPr>
        <w:t>We have not authorized any dealer, salesman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STEMCELLS, INC.</w:t>
      </w:r>
    </w:p>
    <w:p>
      <w:pPr>
        <w:spacing w:after="0" w:line="117" w:lineRule="exact"/>
        <w:rPr>
          <w:sz w:val="20"/>
          <w:szCs w:val="20"/>
          <w:color w:val="auto"/>
        </w:rPr>
      </w:pPr>
    </w:p>
    <w:p>
      <w:pPr>
        <w:ind w:right="80" w:firstLine="221"/>
        <w:spacing w:after="0" w:line="305" w:lineRule="auto"/>
        <w:rPr>
          <w:sz w:val="20"/>
          <w:szCs w:val="20"/>
          <w:color w:val="auto"/>
        </w:rPr>
      </w:pPr>
      <w:r>
        <w:rPr>
          <w:rFonts w:ascii="Arial" w:cs="Arial" w:eastAsia="Arial" w:hAnsi="Arial"/>
          <w:sz w:val="15"/>
          <w:szCs w:val="15"/>
          <w:color w:val="auto"/>
        </w:rPr>
        <w:t>StemCells, Inc. is engaged in the discovery and development of cell-based therapeutics to treat damage to, or degeneration of, major organ systems. Our aim is to restore or support organ function, improve patients’ lives and reduce the substantial health care costs associated with these diseases and disorders by identifying and developing stem and progenitor cells as potential therapeutic agents. We currently have product development programs for two cell types: the human neural stem cell and human liver engrafting cells. In our CNS Program, we are conducting a Phase I clinical trial to evaluate the safety and preliminary efficacy of our HuCNS-SC</w:t>
      </w:r>
      <w:r>
        <w:rPr>
          <w:rFonts w:ascii="Arial" w:cs="Arial" w:eastAsia="Arial" w:hAnsi="Arial"/>
          <w:sz w:val="13"/>
          <w:szCs w:val="13"/>
          <w:color w:val="auto"/>
        </w:rPr>
        <w:t>®</w:t>
      </w:r>
      <w:r>
        <w:rPr>
          <w:rFonts w:ascii="Arial" w:cs="Arial" w:eastAsia="Arial" w:hAnsi="Arial"/>
          <w:sz w:val="15"/>
          <w:szCs w:val="15"/>
          <w:color w:val="auto"/>
        </w:rPr>
        <w:t xml:space="preserve"> product candidate (purified human neural stem cells) as a treatment for infantile and late infantile neuronal ceroid lipofuscinosis (NCL), two forms of a group of disorders often referred to as Batten disease. We have completed enrollment and dosing in this six-patient trial and expect it to be completed in early 2009. In addition, we are conducting preclinical work for spinal cord injury, myelin disorders and retinal disorders. In our Liver Program, we are in preclinical development with, and are continuing to improve processes to isolate and purify, our human liver engrafting cells (hLEC).</w:t>
      </w:r>
    </w:p>
    <w:p>
      <w:pPr>
        <w:spacing w:after="0" w:line="50" w:lineRule="exact"/>
        <w:rPr>
          <w:sz w:val="20"/>
          <w:szCs w:val="20"/>
          <w:color w:val="auto"/>
        </w:rPr>
      </w:pPr>
    </w:p>
    <w:p>
      <w:pPr>
        <w:ind w:right="40" w:firstLine="221"/>
        <w:spacing w:after="0" w:line="309" w:lineRule="auto"/>
        <w:rPr>
          <w:sz w:val="20"/>
          <w:szCs w:val="20"/>
          <w:color w:val="auto"/>
        </w:rPr>
      </w:pPr>
      <w:r>
        <w:rPr>
          <w:rFonts w:ascii="Arial" w:cs="Arial" w:eastAsia="Arial" w:hAnsi="Arial"/>
          <w:sz w:val="15"/>
          <w:szCs w:val="15"/>
          <w:color w:val="auto"/>
        </w:rPr>
        <w:t>Many degenerative diseases are caused by the loss of normal cellular function in a particular organ. When cells are damaged or destroyed, they no longer produce, metabolize or accurately regulate substances, such as sugars, amino acids, neurotransmitters, and hormones, which are essential to life. Although traditional pharmaceuticals and genetically engineered biologics may have some utility in addressing a degenerative condition, there is no technology existing today that can deliver these essential substances precisely to the sites of action, under the appropriate physiological regulation, in the appropriate quantity, or for the duration required to cure the degenerative condition. Cells, however, can do all this naturally. Thus, transplantation of stem or progenitor cells may prevent the loss of, or even generate new, functional cells and potentially maintain or restore organ function and the patient’s health.</w:t>
      </w:r>
    </w:p>
    <w:p>
      <w:pPr>
        <w:spacing w:after="0" w:line="46" w:lineRule="exact"/>
        <w:rPr>
          <w:sz w:val="20"/>
          <w:szCs w:val="20"/>
          <w:color w:val="auto"/>
        </w:rPr>
      </w:pPr>
    </w:p>
    <w:p>
      <w:pPr>
        <w:ind w:firstLine="218"/>
        <w:spacing w:after="0" w:line="250" w:lineRule="auto"/>
        <w:rPr>
          <w:sz w:val="20"/>
          <w:szCs w:val="20"/>
          <w:color w:val="auto"/>
        </w:rPr>
      </w:pPr>
      <w:r>
        <w:rPr>
          <w:rFonts w:ascii="Arial" w:cs="Arial" w:eastAsia="Arial" w:hAnsi="Arial"/>
          <w:sz w:val="18"/>
          <w:szCs w:val="18"/>
          <w:color w:val="auto"/>
        </w:rPr>
        <w:t>We believe that, if successfully developed, our cell technologies will create the basis for therapies that would address a number of conditions with significant unmet medical needs. Many neurodegenerative diseases involve the failure of an organ that cannot be transplanted, i.e., the brain or spinal cord. Many liver diseases, such as hepatitis, can be addressed by a liver transplant, but transplantable livers are in very limited supply. We estimate that degenerative conditions of the central nervous system (CNS) and the liver together affect more than 35 million people in the United States and account for nearly $200 billion annually in health care costs.</w:t>
      </w:r>
      <w:r>
        <w:rPr>
          <w:rFonts w:ascii="Arial" w:cs="Arial" w:eastAsia="Arial" w:hAnsi="Arial"/>
          <w:sz w:val="15"/>
          <w:szCs w:val="15"/>
          <w:color w:val="auto"/>
        </w:rPr>
        <w:t>1</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203835</wp:posOffset>
            </wp:positionV>
            <wp:extent cx="13049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68" w:lineRule="exact"/>
        <w:rPr>
          <w:sz w:val="20"/>
          <w:szCs w:val="20"/>
          <w:color w:val="auto"/>
        </w:rPr>
      </w:pPr>
    </w:p>
    <w:p>
      <w:pPr>
        <w:ind w:left="440" w:hanging="434"/>
        <w:spacing w:after="0" w:line="318" w:lineRule="auto"/>
        <w:tabs>
          <w:tab w:leader="none" w:pos="440" w:val="left"/>
        </w:tabs>
        <w:numPr>
          <w:ilvl w:val="0"/>
          <w:numId w:val="8"/>
        </w:numPr>
        <w:rPr>
          <w:rFonts w:ascii="Arial" w:cs="Arial" w:eastAsia="Arial" w:hAnsi="Arial"/>
          <w:sz w:val="13"/>
          <w:szCs w:val="13"/>
          <w:color w:val="auto"/>
        </w:rPr>
      </w:pPr>
      <w:r>
        <w:rPr>
          <w:rFonts w:ascii="Arial" w:cs="Arial" w:eastAsia="Arial" w:hAnsi="Arial"/>
          <w:sz w:val="15"/>
          <w:szCs w:val="15"/>
          <w:color w:val="auto"/>
        </w:rPr>
        <w:t>This estimate is based on information from the Alzheimer’s Association, the Alzheimer’s Disease Education &amp; Referral Center (National Institute on Aging), the National Parkinson Foundation, the National Institutes of Health’s National Institute on Neurological Disorders and Stroke, the Foundation for Spinal Cord Injury Prevention, Care &amp; Cure, the Travis Roy Foundation, the Centers for Disease Control and Prevention, the Wisconsin Chapter of the Huntington’s Disease Society of America, the American Liver Foundation, the Cincinnati Children’s Hospital Medical Center, and JAIDs.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right="120" w:firstLine="221"/>
        <w:spacing w:after="0" w:line="318" w:lineRule="auto"/>
        <w:rPr>
          <w:sz w:val="20"/>
          <w:szCs w:val="20"/>
          <w:color w:val="auto"/>
        </w:rPr>
      </w:pPr>
      <w:r>
        <w:rPr>
          <w:rFonts w:ascii="Arial" w:cs="Arial" w:eastAsia="Arial" w:hAnsi="Arial"/>
          <w:sz w:val="15"/>
          <w:szCs w:val="15"/>
          <w:i w:val="1"/>
          <w:iCs w:val="1"/>
          <w:color w:val="auto"/>
        </w:rPr>
        <w:t>You should consider the “Risk Factors” included under Part I-Item 1A. of our most recent Annual Report on Form 10-K, which is incorporated by reference in this prospectus. The risks and uncertainties we describe are not the only ones facing us. Additional risks not presently known to us, or that we currently deem immaterial, may also impair our business operations. If any of these risks were to occur, our business, financial condition, and results of operations could be severely harmed. This could cause the trading price of our common stock to decline, and you could lose all or part of your investment.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right="180" w:firstLine="218"/>
        <w:spacing w:after="0" w:line="266" w:lineRule="auto"/>
        <w:rPr>
          <w:sz w:val="20"/>
          <w:szCs w:val="20"/>
          <w:color w:val="auto"/>
        </w:rPr>
      </w:pPr>
      <w:r>
        <w:rPr>
          <w:rFonts w:ascii="Arial" w:cs="Arial" w:eastAsia="Arial" w:hAnsi="Arial"/>
          <w:sz w:val="17"/>
          <w:szCs w:val="17"/>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75" w:lineRule="exact"/>
        <w:rPr>
          <w:sz w:val="20"/>
          <w:szCs w:val="20"/>
          <w:color w:val="auto"/>
        </w:rPr>
      </w:pPr>
    </w:p>
    <w:p>
      <w:pPr>
        <w:ind w:firstLine="221"/>
        <w:spacing w:after="0" w:line="300" w:lineRule="auto"/>
        <w:rPr>
          <w:sz w:val="20"/>
          <w:szCs w:val="20"/>
          <w:color w:val="auto"/>
        </w:rPr>
      </w:pPr>
      <w:r>
        <w:rPr>
          <w:rFonts w:ascii="Arial" w:cs="Arial" w:eastAsia="Arial" w:hAnsi="Arial"/>
          <w:sz w:val="15"/>
          <w:szCs w:val="15"/>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this prospectus.</w:t>
      </w:r>
    </w:p>
    <w:p>
      <w:pPr>
        <w:spacing w:after="0" w:line="266" w:lineRule="exact"/>
        <w:rPr>
          <w:sz w:val="20"/>
          <w:szCs w:val="20"/>
          <w:color w:val="auto"/>
        </w:rPr>
      </w:pPr>
    </w:p>
    <w:p>
      <w:pPr>
        <w:jc w:val="both"/>
        <w:ind w:right="160" w:firstLine="218"/>
        <w:spacing w:after="0" w:line="255" w:lineRule="auto"/>
        <w:rPr>
          <w:sz w:val="20"/>
          <w:szCs w:val="20"/>
          <w:color w:val="auto"/>
        </w:rPr>
      </w:pPr>
      <w:r>
        <w:rPr>
          <w:rFonts w:ascii="Arial" w:cs="Arial" w:eastAsia="Arial" w:hAnsi="Arial"/>
          <w:sz w:val="18"/>
          <w:szCs w:val="18"/>
          <w:color w:val="auto"/>
        </w:rPr>
        <w:t>The forward-looking statements included in this prospectus represent our estimates as of the date of this prospectus. We specifically disclaim any obligation to update these forward-looking statements in the future. These forward-looking statements should not be relied upon as representing our estimates or views as of any date subsequent to the date of this prospectus.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right="380" w:firstLine="221"/>
        <w:spacing w:after="0" w:line="271" w:lineRule="auto"/>
        <w:rPr>
          <w:sz w:val="20"/>
          <w:szCs w:val="20"/>
          <w:color w:val="auto"/>
        </w:rPr>
      </w:pPr>
      <w:r>
        <w:rPr>
          <w:rFonts w:ascii="Arial" w:cs="Arial" w:eastAsia="Arial" w:hAnsi="Arial"/>
          <w:sz w:val="17"/>
          <w:szCs w:val="17"/>
          <w:color w:val="auto"/>
        </w:rPr>
        <w:t>Except as otherwise provided in the applicable prospectus supplement, we intend to use the net proceeds from the sale of the securities covered by this prospectus for general corporate purposes, which may include working capital, capital expenditures, research and development expenditures, clinical trial expenditures, acquisitions of new technologies or businesses, and investments. Additional information on the use of net proceeds from the sale of securities covered by this prospectus may be set forth in the prospectus supplement relating to the specific offering.</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RATIO OF EARNINGS TO FIXED CHARGES</w:t>
      </w:r>
    </w:p>
    <w:p>
      <w:pPr>
        <w:spacing w:after="0" w:line="117"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Our earnings are inadequate to cover fixed charges. The following table sets forth the dollar amount of the coverage. We have not included a ratio of earnings to combined fixed charges and preferred stock dividends because we do not have any preferred stock outstanding.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jc w:val="center"/>
              <w:ind w:left="303"/>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9"/>
              </w:rPr>
              <w:t>Year Ended December 31,</w:t>
            </w: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tcPr>
          <w:p>
            <w:pPr>
              <w:jc w:val="center"/>
              <w:ind w:left="303"/>
              <w:spacing w:after="0" w:line="146"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40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2003</w:t>
            </w:r>
          </w:p>
        </w:tc>
        <w:tc>
          <w:tcPr>
            <w:tcW w:w="128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2004</w:t>
            </w:r>
          </w:p>
        </w:tc>
        <w:tc>
          <w:tcPr>
            <w:tcW w:w="1900" w:type="dxa"/>
            <w:vAlign w:val="bottom"/>
            <w:vMerge w:val="continue"/>
          </w:tcPr>
          <w:p>
            <w:pPr>
              <w:spacing w:after="0"/>
              <w:rPr>
                <w:sz w:val="12"/>
                <w:szCs w:val="12"/>
                <w:color w:val="auto"/>
              </w:rPr>
            </w:pPr>
          </w:p>
        </w:tc>
        <w:tc>
          <w:tcPr>
            <w:tcW w:w="126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2006</w:t>
            </w:r>
          </w:p>
        </w:tc>
        <w:tc>
          <w:tcPr>
            <w:tcW w:w="148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2007</w:t>
            </w:r>
          </w:p>
        </w:tc>
        <w:tc>
          <w:tcPr>
            <w:tcW w:w="1240" w:type="dxa"/>
            <w:vAlign w:val="bottom"/>
          </w:tcPr>
          <w:p>
            <w:pPr>
              <w:jc w:val="center"/>
              <w:ind w:left="303"/>
              <w:spacing w:after="0" w:line="146"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900" w:type="dxa"/>
            <w:vAlign w:val="bottom"/>
          </w:tcPr>
          <w:p>
            <w:pPr>
              <w:jc w:val="right"/>
              <w:ind w:right="722"/>
              <w:spacing w:after="0" w:line="146" w:lineRule="exact"/>
              <w:rPr>
                <w:sz w:val="20"/>
                <w:szCs w:val="20"/>
                <w:color w:val="auto"/>
              </w:rPr>
            </w:pPr>
            <w:r>
              <w:rPr>
                <w:rFonts w:ascii="Arial" w:cs="Arial" w:eastAsia="Arial" w:hAnsi="Arial"/>
                <w:sz w:val="14"/>
                <w:szCs w:val="14"/>
                <w:b w:val="1"/>
                <w:bCs w:val="1"/>
                <w:color w:val="auto"/>
              </w:rPr>
              <w:t>2005</w:t>
            </w:r>
          </w:p>
        </w:tc>
        <w:tc>
          <w:tcPr>
            <w:tcW w:w="126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240" w:type="dxa"/>
            <w:vAlign w:val="bottom"/>
          </w:tcPr>
          <w:p>
            <w:pPr>
              <w:jc w:val="center"/>
              <w:ind w:left="323"/>
              <w:spacing w:after="0" w:line="146"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84"/>
        </w:trPr>
        <w:tc>
          <w:tcPr>
            <w:tcW w:w="2700" w:type="dxa"/>
            <w:vAlign w:val="bottom"/>
            <w:vMerge w:val="restart"/>
          </w:tcPr>
          <w:p>
            <w:pPr>
              <w:spacing w:after="0"/>
              <w:rPr>
                <w:sz w:val="20"/>
                <w:szCs w:val="20"/>
                <w:color w:val="auto"/>
              </w:rPr>
            </w:pPr>
            <w:r>
              <w:rPr>
                <w:rFonts w:ascii="Arial" w:cs="Arial" w:eastAsia="Arial" w:hAnsi="Arial"/>
                <w:sz w:val="18"/>
                <w:szCs w:val="18"/>
                <w:color w:val="auto"/>
                <w:w w:val="99"/>
              </w:rPr>
              <w:t>Ratio of earnings to fixed charges</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160" w:type="dxa"/>
            <w:vAlign w:val="bottom"/>
            <w:gridSpan w:val="2"/>
          </w:tcPr>
          <w:p>
            <w:pPr>
              <w:jc w:val="right"/>
              <w:ind w:right="958"/>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0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00" w:type="dxa"/>
            <w:vAlign w:val="bottom"/>
          </w:tcPr>
          <w:p>
            <w:pPr>
              <w:ind w:left="200"/>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0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700" w:type="dxa"/>
            <w:vAlign w:val="bottom"/>
          </w:tcPr>
          <w:p>
            <w:pPr>
              <w:spacing w:after="0"/>
              <w:rPr>
                <w:sz w:val="20"/>
                <w:szCs w:val="20"/>
                <w:color w:val="auto"/>
              </w:rPr>
            </w:pPr>
            <w:r>
              <w:rPr>
                <w:rFonts w:ascii="Arial" w:cs="Arial" w:eastAsia="Arial" w:hAnsi="Arial"/>
                <w:sz w:val="18"/>
                <w:szCs w:val="18"/>
                <w:color w:val="auto"/>
              </w:rPr>
              <w:t>Deficiency of earnings available</w:t>
            </w: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0"/>
              <w:spacing w:after="0"/>
              <w:rPr>
                <w:sz w:val="20"/>
                <w:szCs w:val="20"/>
                <w:color w:val="auto"/>
              </w:rPr>
            </w:pPr>
            <w:r>
              <w:rPr>
                <w:rFonts w:ascii="Arial" w:cs="Arial" w:eastAsia="Arial" w:hAnsi="Arial"/>
                <w:sz w:val="18"/>
                <w:szCs w:val="18"/>
                <w:color w:val="auto"/>
              </w:rPr>
              <w:t>to cover fixed charges</w:t>
            </w:r>
          </w:p>
        </w:tc>
        <w:tc>
          <w:tcPr>
            <w:tcW w:w="1400" w:type="dxa"/>
            <w:vAlign w:val="bottom"/>
          </w:tcPr>
          <w:p>
            <w:pPr>
              <w:jc w:val="right"/>
              <w:ind w:right="298"/>
              <w:spacing w:after="0"/>
              <w:rPr>
                <w:sz w:val="20"/>
                <w:szCs w:val="20"/>
                <w:color w:val="auto"/>
              </w:rPr>
            </w:pPr>
            <w:r>
              <w:rPr>
                <w:rFonts w:ascii="Arial" w:cs="Arial" w:eastAsia="Arial" w:hAnsi="Arial"/>
                <w:sz w:val="18"/>
                <w:szCs w:val="18"/>
                <w:color w:val="auto"/>
              </w:rPr>
              <w:t>$(14,425)</w:t>
            </w:r>
          </w:p>
        </w:tc>
        <w:tc>
          <w:tcPr>
            <w:tcW w:w="1280" w:type="dxa"/>
            <w:vAlign w:val="bottom"/>
          </w:tcPr>
          <w:p>
            <w:pPr>
              <w:jc w:val="right"/>
              <w:ind w:right="98"/>
              <w:spacing w:after="0"/>
              <w:rPr>
                <w:sz w:val="20"/>
                <w:szCs w:val="20"/>
                <w:color w:val="auto"/>
              </w:rPr>
            </w:pPr>
            <w:r>
              <w:rPr>
                <w:rFonts w:ascii="Arial" w:cs="Arial" w:eastAsia="Arial" w:hAnsi="Arial"/>
                <w:sz w:val="18"/>
                <w:szCs w:val="18"/>
                <w:color w:val="auto"/>
              </w:rPr>
              <w:t>$(15,330)</w:t>
            </w:r>
          </w:p>
        </w:tc>
        <w:tc>
          <w:tcPr>
            <w:tcW w:w="1900" w:type="dxa"/>
            <w:vAlign w:val="bottom"/>
          </w:tcPr>
          <w:p>
            <w:pPr>
              <w:jc w:val="right"/>
              <w:ind w:right="542"/>
              <w:spacing w:after="0"/>
              <w:rPr>
                <w:sz w:val="20"/>
                <w:szCs w:val="20"/>
                <w:color w:val="auto"/>
              </w:rPr>
            </w:pPr>
            <w:r>
              <w:rPr>
                <w:rFonts w:ascii="Arial" w:cs="Arial" w:eastAsia="Arial" w:hAnsi="Arial"/>
                <w:sz w:val="18"/>
                <w:szCs w:val="18"/>
                <w:color w:val="auto"/>
              </w:rPr>
              <w:t>$(11,738)</w:t>
            </w:r>
          </w:p>
        </w:tc>
        <w:tc>
          <w:tcPr>
            <w:tcW w:w="1260" w:type="dxa"/>
            <w:vAlign w:val="bottom"/>
          </w:tcPr>
          <w:p>
            <w:pPr>
              <w:jc w:val="right"/>
              <w:ind w:right="298"/>
              <w:spacing w:after="0"/>
              <w:rPr>
                <w:sz w:val="20"/>
                <w:szCs w:val="20"/>
                <w:color w:val="auto"/>
              </w:rPr>
            </w:pPr>
            <w:r>
              <w:rPr>
                <w:rFonts w:ascii="Arial" w:cs="Arial" w:eastAsia="Arial" w:hAnsi="Arial"/>
                <w:sz w:val="18"/>
                <w:szCs w:val="18"/>
                <w:color w:val="auto"/>
              </w:rPr>
              <w:t>$(18,948)</w:t>
            </w:r>
          </w:p>
        </w:tc>
        <w:tc>
          <w:tcPr>
            <w:tcW w:w="1480" w:type="dxa"/>
            <w:vAlign w:val="bottom"/>
          </w:tcPr>
          <w:p>
            <w:pPr>
              <w:jc w:val="right"/>
              <w:ind w:right="298"/>
              <w:spacing w:after="0"/>
              <w:rPr>
                <w:sz w:val="20"/>
                <w:szCs w:val="20"/>
                <w:color w:val="auto"/>
              </w:rPr>
            </w:pPr>
            <w:r>
              <w:rPr>
                <w:rFonts w:ascii="Arial" w:cs="Arial" w:eastAsia="Arial" w:hAnsi="Arial"/>
                <w:sz w:val="18"/>
                <w:szCs w:val="18"/>
                <w:color w:val="auto"/>
              </w:rPr>
              <w:t>$(25,023)</w:t>
            </w:r>
          </w:p>
        </w:tc>
        <w:tc>
          <w:tcPr>
            <w:tcW w:w="1240" w:type="dxa"/>
            <w:vAlign w:val="bottom"/>
          </w:tcPr>
          <w:p>
            <w:pPr>
              <w:jc w:val="right"/>
              <w:ind w:right="63"/>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13049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40" w:lineRule="exact"/>
        <w:rPr>
          <w:sz w:val="20"/>
          <w:szCs w:val="20"/>
          <w:color w:val="auto"/>
        </w:rPr>
      </w:pPr>
    </w:p>
    <w:p>
      <w:pPr>
        <w:ind w:left="5660" w:right="1940" w:hanging="5654"/>
        <w:spacing w:after="0" w:line="464" w:lineRule="auto"/>
        <w:tabs>
          <w:tab w:leader="none" w:pos="43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each of the periods presented, our earnings were insufficient to cover fixed charges and accordingly ratios are not presented.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ind w:right="4640"/>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jc w:val="right"/>
        <w:ind w:right="4600"/>
        <w:spacing w:after="0"/>
        <w:rPr>
          <w:sz w:val="20"/>
          <w:szCs w:val="20"/>
          <w:color w:val="auto"/>
        </w:rPr>
      </w:pPr>
      <w:r>
        <w:rPr>
          <w:rFonts w:ascii="Arial" w:cs="Arial" w:eastAsia="Arial" w:hAnsi="Arial"/>
          <w:sz w:val="17"/>
          <w:szCs w:val="17"/>
          <w:color w:val="auto"/>
        </w:rPr>
        <w:t>We may sell securities in any of the ways described below or in any combination of these:</w:t>
      </w:r>
    </w:p>
    <w:p>
      <w:pPr>
        <w:spacing w:after="0" w:line="123" w:lineRule="exact"/>
        <w:rPr>
          <w:sz w:val="20"/>
          <w:szCs w:val="20"/>
          <w:color w:val="auto"/>
        </w:rPr>
      </w:pPr>
    </w:p>
    <w:p>
      <w:pPr>
        <w:ind w:left="1120" w:hanging="438"/>
        <w:spacing w:after="0"/>
        <w:tabs>
          <w:tab w:leader="none" w:pos="11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to or through underwriters or dealers;</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through one or more agents; or</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directly to purchasers or to a single purchaser.</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11" w:lineRule="exact"/>
        <w:rPr>
          <w:sz w:val="20"/>
          <w:szCs w:val="20"/>
          <w:color w:val="auto"/>
        </w:rPr>
      </w:pPr>
    </w:p>
    <w:p>
      <w:pPr>
        <w:ind w:left="1120" w:hanging="438"/>
        <w:spacing w:after="0"/>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at a fixed price, or prices, which may be changed from time to time;</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at market prices prevailing at the time of sale;</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at prices related to such prevailing market prices; or</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at negotiated prices.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111" w:lineRule="exact"/>
        <w:rPr>
          <w:sz w:val="20"/>
          <w:szCs w:val="20"/>
          <w:color w:val="auto"/>
        </w:rPr>
      </w:pPr>
    </w:p>
    <w:p>
      <w:pPr>
        <w:ind w:right="620" w:firstLine="439"/>
        <w:spacing w:after="0" w:line="265"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3" w:lineRule="exact"/>
        <w:rPr>
          <w:sz w:val="20"/>
          <w:szCs w:val="20"/>
          <w:color w:val="auto"/>
        </w:rPr>
      </w:pPr>
    </w:p>
    <w:p>
      <w:pPr>
        <w:ind w:left="1120" w:hanging="438"/>
        <w:spacing w:after="0"/>
        <w:tabs>
          <w:tab w:leader="none" w:pos="11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35" w:lineRule="exact"/>
        <w:rPr>
          <w:rFonts w:ascii="Arial" w:cs="Arial" w:eastAsia="Arial" w:hAnsi="Arial"/>
          <w:sz w:val="17"/>
          <w:szCs w:val="17"/>
          <w:b w:val="1"/>
          <w:bCs w:val="1"/>
          <w:color w:val="auto"/>
        </w:rPr>
      </w:pPr>
    </w:p>
    <w:p>
      <w:pPr>
        <w:ind w:left="1120" w:right="220" w:hanging="438"/>
        <w:spacing w:after="0" w:line="265" w:lineRule="auto"/>
        <w:tabs>
          <w:tab w:leader="none" w:pos="11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initial public offering price of the securities and the proceeds to us and any discounts, commissions or concessions allowed or reallowed or paid to dealers; and</w:t>
      </w:r>
    </w:p>
    <w:p>
      <w:pPr>
        <w:spacing w:after="0" w:line="86" w:lineRule="exact"/>
        <w:rPr>
          <w:rFonts w:ascii="Arial" w:cs="Arial" w:eastAsia="Arial" w:hAnsi="Arial"/>
          <w:sz w:val="18"/>
          <w:szCs w:val="18"/>
          <w:b w:val="1"/>
          <w:bCs w:val="1"/>
          <w:color w:val="auto"/>
        </w:rPr>
      </w:pPr>
    </w:p>
    <w:p>
      <w:pPr>
        <w:ind w:left="1120" w:hanging="438"/>
        <w:spacing w:after="0"/>
        <w:tabs>
          <w:tab w:leader="none" w:pos="11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any securities exchanges on which the securities may be listed.</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Only the agents or underwriters named in each prospectus supplement are agents or underwriters in connection with the securities being offered thereby.</w:t>
      </w:r>
    </w:p>
    <w:p>
      <w:pPr>
        <w:spacing w:after="0" w:line="146" w:lineRule="exact"/>
        <w:rPr>
          <w:sz w:val="20"/>
          <w:szCs w:val="20"/>
          <w:color w:val="auto"/>
        </w:rPr>
      </w:pPr>
    </w:p>
    <w:p>
      <w:pPr>
        <w:ind w:firstLine="439"/>
        <w:spacing w:after="0" w:line="266" w:lineRule="auto"/>
        <w:rPr>
          <w:sz w:val="20"/>
          <w:szCs w:val="20"/>
          <w:color w:val="auto"/>
        </w:rPr>
      </w:pPr>
      <w:r>
        <w:rPr>
          <w:rFonts w:ascii="Arial" w:cs="Arial" w:eastAsia="Arial" w:hAnsi="Arial"/>
          <w:sz w:val="17"/>
          <w:szCs w:val="17"/>
          <w:color w:val="auto"/>
        </w:rPr>
        <w:t>We may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each applicable prospectus supplement, and each prospectus supplement will set forth any commissions we pay for solicitation of these contracts.</w:t>
      </w:r>
    </w:p>
    <w:p>
      <w:pPr>
        <w:spacing w:after="0" w:line="75" w:lineRule="exact"/>
        <w:rPr>
          <w:sz w:val="20"/>
          <w:szCs w:val="20"/>
          <w:color w:val="auto"/>
        </w:rPr>
      </w:pPr>
    </w:p>
    <w:p>
      <w:pPr>
        <w:ind w:right="60" w:firstLine="432"/>
        <w:spacing w:after="0" w:line="330" w:lineRule="auto"/>
        <w:rPr>
          <w:sz w:val="20"/>
          <w:szCs w:val="20"/>
          <w:color w:val="auto"/>
        </w:rPr>
      </w:pPr>
      <w:r>
        <w:rPr>
          <w:rFonts w:ascii="Arial" w:cs="Arial" w:eastAsia="Arial" w:hAnsi="Arial"/>
          <w:sz w:val="15"/>
          <w:szCs w:val="15"/>
          <w:color w:val="auto"/>
        </w:rPr>
        <w:t>Agents, underwriters and other third parties described above may be entitled to indemnification by us against certain civil liabilities, including liabilities under the Securities Act of 1933,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firstLine="442"/>
        <w:spacing w:after="0" w:line="307" w:lineRule="auto"/>
        <w:rPr>
          <w:sz w:val="20"/>
          <w:szCs w:val="20"/>
          <w:color w:val="auto"/>
        </w:rPr>
      </w:pPr>
      <w:r>
        <w:rPr>
          <w:rFonts w:ascii="Arial" w:cs="Arial" w:eastAsia="Arial" w:hAnsi="Arial"/>
          <w:sz w:val="15"/>
          <w:szCs w:val="15"/>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any remarketing firm and the terms of its agreement, if any, with us and will describe the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47" w:lineRule="exact"/>
        <w:rPr>
          <w:sz w:val="20"/>
          <w:szCs w:val="20"/>
          <w:color w:val="auto"/>
        </w:rPr>
      </w:pPr>
    </w:p>
    <w:p>
      <w:pPr>
        <w:jc w:val="both"/>
        <w:ind w:right="140" w:firstLine="442"/>
        <w:spacing w:after="0" w:line="255"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w:t>
      </w:r>
    </w:p>
    <w:p>
      <w:pPr>
        <w:spacing w:after="0" w:line="83" w:lineRule="exact"/>
        <w:rPr>
          <w:sz w:val="20"/>
          <w:szCs w:val="20"/>
          <w:color w:val="auto"/>
        </w:rPr>
      </w:pPr>
    </w:p>
    <w:p>
      <w:pPr>
        <w:ind w:firstLine="439"/>
        <w:spacing w:after="0" w:line="277"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Underwriters may make a market in these securities, but will not be obligated to do so and may discontinue any market making at any time without notice. We can make no assurance as to the liquidity of, or the existence of trading markets for, any of our securities.</w:t>
      </w:r>
    </w:p>
    <w:p>
      <w:pPr>
        <w:spacing w:after="0" w:line="66" w:lineRule="exact"/>
        <w:rPr>
          <w:sz w:val="20"/>
          <w:szCs w:val="20"/>
          <w:color w:val="auto"/>
        </w:rPr>
      </w:pPr>
    </w:p>
    <w:p>
      <w:pPr>
        <w:ind w:right="60" w:firstLine="442"/>
        <w:spacing w:after="0" w:line="249" w:lineRule="auto"/>
        <w:rPr>
          <w:sz w:val="20"/>
          <w:szCs w:val="20"/>
          <w:color w:val="auto"/>
        </w:rPr>
      </w:pPr>
      <w:r>
        <w:rPr>
          <w:rFonts w:ascii="Arial" w:cs="Arial" w:eastAsia="Arial" w:hAnsi="Arial"/>
          <w:sz w:val="18"/>
          <w:szCs w:val="18"/>
          <w:color w:val="auto"/>
        </w:rPr>
        <w:t>Certain persons participating in this offering may engage in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DESCRIPTION OF COMMON STOCK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authorized to issue 125,000,000 shares of common stock. As of June 1, 2008, we had 80,810,302 shares of common stock outstanding.</w:t>
      </w:r>
    </w:p>
    <w:p>
      <w:pPr>
        <w:spacing w:after="0" w:line="123" w:lineRule="exact"/>
        <w:rPr>
          <w:sz w:val="20"/>
          <w:szCs w:val="20"/>
          <w:color w:val="auto"/>
        </w:rPr>
      </w:pPr>
    </w:p>
    <w:p>
      <w:pPr>
        <w:ind w:right="320" w:firstLine="218"/>
        <w:spacing w:after="0" w:line="255"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our restated certificate of incorporation and our amended and restated by-laws, both of which are on file with the SEC as exhibits to previous SEC filings.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160" w:firstLine="221"/>
        <w:spacing w:after="0" w:line="249" w:lineRule="auto"/>
        <w:rPr>
          <w:sz w:val="20"/>
          <w:szCs w:val="20"/>
          <w:color w:val="auto"/>
        </w:rPr>
      </w:pPr>
      <w:r>
        <w:rPr>
          <w:rFonts w:ascii="Arial" w:cs="Arial" w:eastAsia="Arial" w:hAnsi="Arial"/>
          <w:sz w:val="18"/>
          <w:szCs w:val="18"/>
          <w:color w:val="auto"/>
        </w:rPr>
        <w:t>Holders of common stock are entitled to one vote per share on matters on which our stockholders vote. There are no cumulative voting rights.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 All shares of common stock that are outstanding as of the date of this prospectus and, upon issuance and sale, all shares we are offering by this prospectus, will be fully-paid and nonassessable.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common stock is listed for quotation on the Nasdaq Global Market under the symbol “STEM.”</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PREFERRED STOCK</w:t>
      </w:r>
    </w:p>
    <w:p>
      <w:pPr>
        <w:spacing w:after="0" w:line="117" w:lineRule="exact"/>
        <w:rPr>
          <w:sz w:val="20"/>
          <w:szCs w:val="20"/>
          <w:color w:val="auto"/>
        </w:rPr>
      </w:pPr>
    </w:p>
    <w:p>
      <w:pPr>
        <w:ind w:right="60" w:firstLine="218"/>
        <w:spacing w:after="0" w:line="252" w:lineRule="auto"/>
        <w:rPr>
          <w:sz w:val="20"/>
          <w:szCs w:val="20"/>
          <w:color w:val="auto"/>
        </w:rPr>
      </w:pPr>
      <w:r>
        <w:rPr>
          <w:rFonts w:ascii="Arial" w:cs="Arial" w:eastAsia="Arial" w:hAnsi="Arial"/>
          <w:sz w:val="18"/>
          <w:szCs w:val="18"/>
          <w:color w:val="auto"/>
        </w:rPr>
        <w:t>We are authorized to issue 1,000,000 shares of undesignated preferred stock. As of June 1, 2008, no shares of our preferred stock were outstanding. The following summary of certain provisions of our preferred stock does not purport to be complete. You should refer to our restated certificate of incorporation and our amended and restated by-laws, both of which are on file with the SEC as exhibits to previous SEC filings. The summary below is also qualified by provisions of applicable law.</w:t>
      </w:r>
    </w:p>
    <w:p>
      <w:pPr>
        <w:spacing w:after="0" w:line="85" w:lineRule="exact"/>
        <w:rPr>
          <w:sz w:val="20"/>
          <w:szCs w:val="20"/>
          <w:color w:val="auto"/>
        </w:rPr>
      </w:pPr>
    </w:p>
    <w:p>
      <w:pPr>
        <w:ind w:firstLine="221"/>
        <w:spacing w:after="0" w:line="305" w:lineRule="auto"/>
        <w:rPr>
          <w:sz w:val="20"/>
          <w:szCs w:val="20"/>
          <w:color w:val="auto"/>
        </w:rPr>
      </w:pPr>
      <w:r>
        <w:rPr>
          <w:rFonts w:ascii="Arial" w:cs="Arial" w:eastAsia="Arial" w:hAnsi="Arial"/>
          <w:sz w:val="15"/>
          <w:szCs w:val="15"/>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50" w:lineRule="exact"/>
        <w:rPr>
          <w:sz w:val="20"/>
          <w:szCs w:val="20"/>
          <w:color w:val="auto"/>
        </w:rPr>
      </w:pPr>
    </w:p>
    <w:p>
      <w:pPr>
        <w:ind w:right="160" w:firstLine="221"/>
        <w:spacing w:after="0" w:line="364" w:lineRule="auto"/>
        <w:rPr>
          <w:sz w:val="20"/>
          <w:szCs w:val="20"/>
          <w:color w:val="auto"/>
        </w:rPr>
      </w:pPr>
      <w:r>
        <w:rPr>
          <w:rFonts w:ascii="Arial" w:cs="Arial" w:eastAsia="Arial" w:hAnsi="Arial"/>
          <w:sz w:val="15"/>
          <w:szCs w:val="15"/>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7" w:lineRule="exact"/>
        <w:rPr>
          <w:sz w:val="20"/>
          <w:szCs w:val="20"/>
          <w:color w:val="auto"/>
        </w:rPr>
      </w:pPr>
    </w:p>
    <w:p>
      <w:pPr>
        <w:ind w:left="660" w:hanging="429"/>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title and stated value;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number of shares offered, the liquidation preference per share and the purchase price;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dividend rate(s), period(s) and/or payment date(s), or method(s) of calculation for such dividends;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procedures for any auction and remarketing, if any;</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provisions for a sinking fund, if any;</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provisions for redemption, if applicable;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any listing of the preferred stock on any securities exchange or market;</w:t>
      </w:r>
    </w:p>
    <w:p>
      <w:pPr>
        <w:spacing w:after="0" w:line="124" w:lineRule="exact"/>
        <w:rPr>
          <w:rFonts w:ascii="Arial" w:cs="Arial" w:eastAsia="Arial" w:hAnsi="Arial"/>
          <w:sz w:val="18"/>
          <w:szCs w:val="18"/>
          <w:b w:val="1"/>
          <w:bCs w:val="1"/>
          <w:color w:val="auto"/>
        </w:rPr>
      </w:pPr>
    </w:p>
    <w:p>
      <w:pPr>
        <w:ind w:left="660" w:right="520" w:hanging="429"/>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86" w:lineRule="exact"/>
        <w:rPr>
          <w:rFonts w:ascii="Arial" w:cs="Arial" w:eastAsia="Arial" w:hAnsi="Arial"/>
          <w:sz w:val="18"/>
          <w:szCs w:val="18"/>
          <w:b w:val="1"/>
          <w:bCs w:val="1"/>
          <w:color w:val="auto"/>
        </w:rPr>
      </w:pPr>
    </w:p>
    <w:p>
      <w:pPr>
        <w:ind w:left="660" w:right="60" w:hanging="429"/>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voting rights, if any, of the preferred stock;</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124" w:lineRule="exact"/>
        <w:rPr>
          <w:rFonts w:ascii="Arial" w:cs="Arial" w:eastAsia="Arial" w:hAnsi="Arial"/>
          <w:sz w:val="18"/>
          <w:szCs w:val="18"/>
          <w:b w:val="1"/>
          <w:bCs w:val="1"/>
          <w:color w:val="auto"/>
        </w:rPr>
      </w:pPr>
    </w:p>
    <w:p>
      <w:pPr>
        <w:ind w:left="660" w:right="160" w:hanging="429"/>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StemCells, Inc.; and</w:t>
      </w:r>
    </w:p>
    <w:p>
      <w:pPr>
        <w:spacing w:after="0" w:line="86" w:lineRule="exact"/>
        <w:rPr>
          <w:rFonts w:ascii="Arial" w:cs="Arial" w:eastAsia="Arial" w:hAnsi="Arial"/>
          <w:sz w:val="18"/>
          <w:szCs w:val="18"/>
          <w:b w:val="1"/>
          <w:bCs w:val="1"/>
          <w:color w:val="auto"/>
        </w:rPr>
      </w:pPr>
    </w:p>
    <w:p>
      <w:pPr>
        <w:ind w:left="660" w:right="400" w:hanging="429"/>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StemCells, Inc.</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preferred stock offered by this prospectus, when issued, will not have, or be subject to, any preemptive or similar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each applicable prospectus supplement.</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17" w:lineRule="exact"/>
        <w:rPr>
          <w:sz w:val="20"/>
          <w:szCs w:val="20"/>
          <w:color w:val="auto"/>
        </w:rPr>
      </w:pPr>
    </w:p>
    <w:p>
      <w:pPr>
        <w:ind w:right="120" w:firstLine="218"/>
        <w:spacing w:after="0" w:line="330" w:lineRule="auto"/>
        <w:rPr>
          <w:sz w:val="20"/>
          <w:szCs w:val="20"/>
          <w:color w:val="auto"/>
        </w:rPr>
      </w:pPr>
      <w:r>
        <w:rPr>
          <w:rFonts w:ascii="Arial" w:cs="Arial" w:eastAsia="Arial" w:hAnsi="Arial"/>
          <w:sz w:val="15"/>
          <w:szCs w:val="15"/>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to the warrants.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111" w:lineRule="exact"/>
        <w:rPr>
          <w:sz w:val="20"/>
          <w:szCs w:val="20"/>
          <w:color w:val="auto"/>
        </w:rPr>
      </w:pPr>
    </w:p>
    <w:p>
      <w:pPr>
        <w:ind w:left="660" w:hanging="429"/>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specific designation and aggregate number of, and the price at which we will issue, the warrants;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currency or currency units in which the offering price, if any, and the exercise price are payable;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designation, amount and terms of the securities purchasable upon exercise of the warrants;</w:t>
      </w:r>
    </w:p>
    <w:p>
      <w:pPr>
        <w:spacing w:after="0" w:line="124" w:lineRule="exact"/>
        <w:rPr>
          <w:rFonts w:ascii="Arial" w:cs="Arial" w:eastAsia="Arial" w:hAnsi="Arial"/>
          <w:sz w:val="18"/>
          <w:szCs w:val="18"/>
          <w:b w:val="1"/>
          <w:bCs w:val="1"/>
          <w:color w:val="auto"/>
        </w:rPr>
      </w:pPr>
    </w:p>
    <w:p>
      <w:pPr>
        <w:ind w:left="660" w:right="640" w:hanging="429"/>
        <w:spacing w:after="0" w:line="265"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86" w:lineRule="exact"/>
        <w:rPr>
          <w:rFonts w:ascii="Arial" w:cs="Arial" w:eastAsia="Arial" w:hAnsi="Arial"/>
          <w:sz w:val="18"/>
          <w:szCs w:val="18"/>
          <w:b w:val="1"/>
          <w:bCs w:val="1"/>
          <w:color w:val="auto"/>
        </w:rPr>
      </w:pPr>
    </w:p>
    <w:p>
      <w:pPr>
        <w:ind w:left="660" w:hanging="429"/>
        <w:spacing w:after="0" w:line="265"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660" w:right="320" w:hanging="429"/>
        <w:spacing w:after="0" w:line="265"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86" w:lineRule="exact"/>
        <w:rPr>
          <w:rFonts w:ascii="Arial" w:cs="Arial" w:eastAsia="Arial" w:hAnsi="Arial"/>
          <w:sz w:val="18"/>
          <w:szCs w:val="18"/>
          <w:b w:val="1"/>
          <w:bCs w:val="1"/>
          <w:color w:val="auto"/>
        </w:rPr>
      </w:pPr>
    </w:p>
    <w:p>
      <w:pPr>
        <w:ind w:left="660" w:right="140" w:hanging="429"/>
        <w:spacing w:after="0" w:line="265"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86" w:lineRule="exact"/>
        <w:rPr>
          <w:rFonts w:ascii="Arial" w:cs="Arial" w:eastAsia="Arial" w:hAnsi="Arial"/>
          <w:sz w:val="18"/>
          <w:szCs w:val="18"/>
          <w:b w:val="1"/>
          <w:bCs w:val="1"/>
          <w:color w:val="auto"/>
        </w:rPr>
      </w:pPr>
    </w:p>
    <w:p>
      <w:pPr>
        <w:ind w:left="660" w:right="60" w:hanging="429"/>
        <w:spacing w:after="0" w:line="294"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64" w:lineRule="exact"/>
        <w:rPr>
          <w:rFonts w:ascii="Arial" w:cs="Arial" w:eastAsia="Arial" w:hAnsi="Arial"/>
          <w:sz w:val="17"/>
          <w:szCs w:val="17"/>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any applicable material U.S. federal income tax consequences;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5"/>
          <w:szCs w:val="15"/>
          <w:b w:val="1"/>
          <w:bCs w:val="1"/>
          <w:color w:val="auto"/>
        </w:rPr>
      </w:pPr>
      <w:r>
        <w:rPr>
          <w:rFonts w:ascii="Arial" w:cs="Arial" w:eastAsia="Arial" w:hAnsi="Arial"/>
          <w:sz w:val="15"/>
          <w:szCs w:val="15"/>
          <w:color w:val="auto"/>
        </w:rPr>
        <w:t>the identity of the warrant agent for the warrants and of any other depositaries, execution or paying agents, transfer agents, registrars or other agents;</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5"/>
          <w:szCs w:val="15"/>
          <w:b w:val="1"/>
          <w:bCs w:val="1"/>
          <w:color w:val="auto"/>
        </w:rPr>
      </w:pPr>
      <w:r>
        <w:rPr>
          <w:rFonts w:ascii="Arial" w:cs="Arial" w:eastAsia="Arial" w:hAnsi="Arial"/>
          <w:sz w:val="15"/>
          <w:szCs w:val="15"/>
          <w:color w:val="auto"/>
        </w:rPr>
        <w:t>if applicable, the date from and after which the warrants and the common stock, preferred stock and/or debt securities will be separately transferable;</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if applicable, the minimum or maximum amount of the warrants that may be exercised at any one time;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information with respect to book-entry procedures, if any;</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anti-dilution provisions of the warrants, if any;</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any redemption or call provisions;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whether the warrants are to be sold separately or with other securities as parts of units;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any additional terms of the warrants, including terms, procedures and limitations relating to the exchange and exercise of the 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17" w:lineRule="exact"/>
        <w:rPr>
          <w:sz w:val="20"/>
          <w:szCs w:val="20"/>
          <w:color w:val="auto"/>
        </w:rPr>
      </w:pPr>
    </w:p>
    <w:p>
      <w:pPr>
        <w:ind w:firstLine="218"/>
        <w:spacing w:after="0" w:line="250" w:lineRule="auto"/>
        <w:rPr>
          <w:sz w:val="20"/>
          <w:szCs w:val="20"/>
          <w:color w:val="auto"/>
        </w:rPr>
      </w:pPr>
      <w:r>
        <w:rPr>
          <w:rFonts w:ascii="Arial" w:cs="Arial" w:eastAsia="Arial" w:hAnsi="Arial"/>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89" w:lineRule="exact"/>
        <w:rPr>
          <w:sz w:val="20"/>
          <w:szCs w:val="20"/>
          <w:color w:val="auto"/>
        </w:rPr>
      </w:pPr>
    </w:p>
    <w:p>
      <w:pPr>
        <w:ind w:right="80" w:firstLine="218"/>
        <w:spacing w:after="0" w:line="252" w:lineRule="auto"/>
        <w:rPr>
          <w:sz w:val="20"/>
          <w:szCs w:val="20"/>
          <w:color w:val="auto"/>
        </w:rPr>
      </w:pPr>
      <w:r>
        <w:rPr>
          <w:rFonts w:ascii="Arial" w:cs="Arial" w:eastAsia="Arial" w:hAnsi="Arial"/>
          <w:sz w:val="18"/>
          <w:szCs w:val="18"/>
          <w:color w:val="auto"/>
        </w:rPr>
        <w:t>We may offer under this prospectus up to an aggregate principal amount of $100,000,000 in debt securities; or if debt securities are issued at a discount, or in a foreign currency, foreign currency units or composite currency, the principal amount as may be sold for an initial public offering price of up to $100,000,000. Unless otherwise specified in the applicable prospectus supplement, the debt securities will represent direct, unsecured obligations of StemCells, Inc. and will rank equally with all of our other unsecured indebtedness.</w:t>
      </w:r>
    </w:p>
    <w:p>
      <w:pPr>
        <w:spacing w:after="0" w:line="85"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The following statements relating to the debt securities and the indenture are summaries, qualified in their entirety to the detailed provisions of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500" w:firstLine="218"/>
        <w:spacing w:after="0" w:line="294" w:lineRule="auto"/>
        <w:rPr>
          <w:sz w:val="20"/>
          <w:szCs w:val="20"/>
          <w:color w:val="auto"/>
        </w:rPr>
      </w:pPr>
      <w:r>
        <w:rPr>
          <w:rFonts w:ascii="Arial" w:cs="Arial" w:eastAsia="Arial" w:hAnsi="Arial"/>
          <w:sz w:val="17"/>
          <w:szCs w:val="17"/>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51" w:lineRule="exact"/>
        <w:rPr>
          <w:sz w:val="20"/>
          <w:szCs w:val="20"/>
          <w:color w:val="auto"/>
        </w:rPr>
      </w:pPr>
    </w:p>
    <w:p>
      <w:pPr>
        <w:ind w:right="120" w:firstLine="218"/>
        <w:spacing w:after="0" w:line="265"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73" w:lineRule="exact"/>
        <w:rPr>
          <w:sz w:val="20"/>
          <w:szCs w:val="20"/>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title of the series;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aggregate principal amount;</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any limit on the aggregate principal amount;</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date or dates on which principal is payable;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place or places where principal and, if applicable, premium and interest, is payable;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5"/>
          <w:szCs w:val="15"/>
          <w:b w:val="1"/>
          <w:bCs w:val="1"/>
          <w:color w:val="auto"/>
        </w:rPr>
      </w:pPr>
      <w:r>
        <w:rPr>
          <w:rFonts w:ascii="Arial" w:cs="Arial" w:eastAsia="Arial" w:hAnsi="Arial"/>
          <w:sz w:val="15"/>
          <w:szCs w:val="15"/>
          <w:color w:val="auto"/>
        </w:rPr>
        <w:t>the denominations in which such debt securities may be issuable, if other than denominations of $1,000 or any integral multiple of that number;</w:t>
      </w:r>
    </w:p>
    <w:p>
      <w:pPr>
        <w:spacing w:after="0" w:line="158" w:lineRule="exact"/>
        <w:rPr>
          <w:rFonts w:ascii="Arial" w:cs="Arial" w:eastAsia="Arial" w:hAnsi="Arial"/>
          <w:sz w:val="15"/>
          <w:szCs w:val="15"/>
          <w:b w:val="1"/>
          <w:bCs w:val="1"/>
          <w:color w:val="auto"/>
        </w:rPr>
      </w:pPr>
    </w:p>
    <w:p>
      <w:pPr>
        <w:ind w:left="660" w:right="320" w:hanging="429"/>
        <w:spacing w:after="0" w:line="265"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whether the debt securities are to be issuable in the form of certificated debt securities (as described below) or global debt securities (as described below);</w:t>
      </w:r>
    </w:p>
    <w:p>
      <w:pPr>
        <w:spacing w:after="0" w:line="86" w:lineRule="exact"/>
        <w:rPr>
          <w:rFonts w:ascii="Arial" w:cs="Arial" w:eastAsia="Arial" w:hAnsi="Arial"/>
          <w:sz w:val="18"/>
          <w:szCs w:val="18"/>
          <w:b w:val="1"/>
          <w:bCs w:val="1"/>
          <w:color w:val="auto"/>
        </w:rPr>
      </w:pPr>
    </w:p>
    <w:p>
      <w:pPr>
        <w:ind w:left="660" w:hanging="429"/>
        <w:spacing w:after="0" w:line="265"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currency of denomination;</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5"/>
          <w:szCs w:val="15"/>
          <w:b w:val="1"/>
          <w:bCs w:val="1"/>
          <w:color w:val="auto"/>
        </w:rPr>
      </w:pPr>
      <w:r>
        <w:rPr>
          <w:rFonts w:ascii="Arial" w:cs="Arial" w:eastAsia="Arial" w:hAnsi="Arial"/>
          <w:sz w:val="15"/>
          <w:szCs w:val="15"/>
          <w:color w:val="auto"/>
        </w:rPr>
        <w:t>the designation of the currency, currencies or currency units in which payment of principal and, if applicable, premium and interest, will be made;</w:t>
      </w:r>
    </w:p>
    <w:p>
      <w:pPr>
        <w:spacing w:after="0" w:line="158" w:lineRule="exact"/>
        <w:rPr>
          <w:rFonts w:ascii="Arial" w:cs="Arial" w:eastAsia="Arial" w:hAnsi="Arial"/>
          <w:sz w:val="15"/>
          <w:szCs w:val="15"/>
          <w:b w:val="1"/>
          <w:bCs w:val="1"/>
          <w:color w:val="auto"/>
        </w:rPr>
      </w:pPr>
    </w:p>
    <w:p>
      <w:pPr>
        <w:ind w:left="660" w:hanging="429"/>
        <w:spacing w:after="0" w:line="294" w:lineRule="auto"/>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64" w:lineRule="exact"/>
        <w:rPr>
          <w:rFonts w:ascii="Arial" w:cs="Arial" w:eastAsia="Arial" w:hAnsi="Arial"/>
          <w:sz w:val="17"/>
          <w:szCs w:val="17"/>
          <w:b w:val="1"/>
          <w:bCs w:val="1"/>
          <w:color w:val="auto"/>
        </w:rPr>
      </w:pPr>
    </w:p>
    <w:p>
      <w:pPr>
        <w:ind w:left="660" w:right="160" w:hanging="429"/>
        <w:spacing w:after="0" w:line="366" w:lineRule="auto"/>
        <w:tabs>
          <w:tab w:leader="none" w:pos="660" w:val="left"/>
        </w:tabs>
        <w:numPr>
          <w:ilvl w:val="0"/>
          <w:numId w:val="17"/>
        </w:numPr>
        <w:rPr>
          <w:rFonts w:ascii="Arial" w:cs="Arial" w:eastAsia="Arial" w:hAnsi="Arial"/>
          <w:sz w:val="15"/>
          <w:szCs w:val="15"/>
          <w:b w:val="1"/>
          <w:bCs w:val="1"/>
          <w:color w:val="auto"/>
        </w:rPr>
      </w:pPr>
      <w:r>
        <w:rPr>
          <w:rFonts w:ascii="Arial" w:cs="Arial" w:eastAsia="Arial" w:hAnsi="Arial"/>
          <w:sz w:val="15"/>
          <w:szCs w:val="15"/>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7" w:lineRule="exact"/>
        <w:rPr>
          <w:rFonts w:ascii="Arial" w:cs="Arial" w:eastAsia="Arial" w:hAnsi="Arial"/>
          <w:sz w:val="15"/>
          <w:szCs w:val="15"/>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provisions, if any, relating to any collateral provided for such debt securities;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any addition to or change in the covenants and/or the acceleration provisions described in this prospectus or in the indenture;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any events of default, if not otherwise described below under “Events of Default”;</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terms and conditions, if any, for conversion into or exchange for shares of common stock or preferred stock;</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any depositaries, interest rate calculation agents, exchange rate calculation agents or other agents; and</w:t>
      </w: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413"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660" w:hanging="429"/>
        <w:spacing w:after="0"/>
        <w:tabs>
          <w:tab w:leader="none" w:pos="660" w:val="left"/>
        </w:tabs>
        <w:numPr>
          <w:ilvl w:val="0"/>
          <w:numId w:val="18"/>
        </w:numPr>
        <w:rPr>
          <w:rFonts w:ascii="Arial" w:cs="Arial" w:eastAsia="Arial" w:hAnsi="Arial"/>
          <w:sz w:val="15"/>
          <w:szCs w:val="15"/>
          <w:b w:val="1"/>
          <w:bCs w:val="1"/>
          <w:color w:val="auto"/>
        </w:rPr>
      </w:pPr>
      <w:r>
        <w:rPr>
          <w:rFonts w:ascii="Arial" w:cs="Arial" w:eastAsia="Arial" w:hAnsi="Arial"/>
          <w:sz w:val="15"/>
          <w:szCs w:val="15"/>
          <w:color w:val="auto"/>
        </w:rPr>
        <w:t>the terms and conditions, if any, upon which the debt securities shall be subordinated in right of payment to other indebtedness of StemCells, Inc.</w:t>
      </w:r>
    </w:p>
    <w:p>
      <w:pPr>
        <w:spacing w:after="0" w:line="146" w:lineRule="exact"/>
        <w:rPr>
          <w:sz w:val="20"/>
          <w:szCs w:val="20"/>
          <w:color w:val="auto"/>
        </w:rPr>
      </w:pPr>
    </w:p>
    <w:p>
      <w:pPr>
        <w:ind w:right="160" w:firstLine="218"/>
        <w:spacing w:after="0" w:line="271" w:lineRule="auto"/>
        <w:rPr>
          <w:sz w:val="20"/>
          <w:szCs w:val="20"/>
          <w:color w:val="auto"/>
        </w:rPr>
      </w:pPr>
      <w:r>
        <w:rPr>
          <w:rFonts w:ascii="Arial" w:cs="Arial" w:eastAsia="Arial" w:hAnsi="Arial"/>
          <w:sz w:val="17"/>
          <w:szCs w:val="17"/>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72" w:lineRule="exact"/>
        <w:rPr>
          <w:sz w:val="20"/>
          <w:szCs w:val="20"/>
          <w:color w:val="auto"/>
        </w:rPr>
      </w:pPr>
    </w:p>
    <w:p>
      <w:pPr>
        <w:jc w:val="both"/>
        <w:ind w:right="80" w:firstLine="218"/>
        <w:spacing w:after="0" w:line="255"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and/or Conversion Rights</w:t>
      </w:r>
    </w:p>
    <w:p>
      <w:pPr>
        <w:spacing w:after="0" w:line="117" w:lineRule="exact"/>
        <w:rPr>
          <w:sz w:val="20"/>
          <w:szCs w:val="20"/>
          <w:color w:val="auto"/>
        </w:rPr>
      </w:pPr>
    </w:p>
    <w:p>
      <w:pPr>
        <w:ind w:firstLine="218"/>
        <w:spacing w:after="0" w:line="265" w:lineRule="auto"/>
        <w:rPr>
          <w:sz w:val="20"/>
          <w:szCs w:val="20"/>
          <w:color w:val="auto"/>
        </w:rPr>
      </w:pPr>
      <w:r>
        <w:rPr>
          <w:rFonts w:ascii="Arial" w:cs="Arial" w:eastAsia="Arial" w:hAnsi="Arial"/>
          <w:sz w:val="18"/>
          <w:szCs w:val="18"/>
          <w:color w:val="auto"/>
        </w:rPr>
        <w:t>We may issue debt securities which can be exchanged for or converted into shares of common stock or preferred stock. If we do, we will describe the terms of exchange or conversion in the prospectus supplement relating to these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issue debt securities that will be represented by either:</w:t>
      </w:r>
    </w:p>
    <w:p>
      <w:pPr>
        <w:spacing w:after="0" w:line="111" w:lineRule="exact"/>
        <w:rPr>
          <w:sz w:val="20"/>
          <w:szCs w:val="20"/>
          <w:color w:val="auto"/>
        </w:rPr>
      </w:pPr>
    </w:p>
    <w:p>
      <w:pPr>
        <w:ind w:left="660" w:right="760" w:hanging="429"/>
        <w:spacing w:after="0" w:line="265"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“book-entry securities,” which means that there will be one or more global securities registered in the name of a depositary or a nominee of a depositary; or</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“certificated securities,” which means that they will be represented by a certificate issued in definitive registered form.</w:t>
      </w:r>
    </w:p>
    <w:p>
      <w:pPr>
        <w:spacing w:after="0" w:line="111" w:lineRule="exact"/>
        <w:rPr>
          <w:sz w:val="20"/>
          <w:szCs w:val="20"/>
          <w:color w:val="auto"/>
        </w:rPr>
      </w:pPr>
    </w:p>
    <w:p>
      <w:pPr>
        <w:ind w:right="700" w:firstLine="218"/>
        <w:spacing w:after="0" w:line="265" w:lineRule="auto"/>
        <w:rPr>
          <w:sz w:val="20"/>
          <w:szCs w:val="20"/>
          <w:color w:val="auto"/>
        </w:rPr>
      </w:pPr>
      <w:r>
        <w:rPr>
          <w:rFonts w:ascii="Arial" w:cs="Arial" w:eastAsia="Arial" w:hAnsi="Arial"/>
          <w:sz w:val="18"/>
          <w:szCs w:val="18"/>
          <w:color w:val="auto"/>
        </w:rPr>
        <w:t>We will specify in the prospectus supplement applicable to a particular offering whether the debt securities offered will be book-entry or certificated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Debt Securities</w:t>
      </w:r>
    </w:p>
    <w:p>
      <w:pPr>
        <w:spacing w:after="0" w:line="117" w:lineRule="exact"/>
        <w:rPr>
          <w:sz w:val="20"/>
          <w:szCs w:val="20"/>
          <w:color w:val="auto"/>
        </w:rPr>
      </w:pPr>
    </w:p>
    <w:p>
      <w:pPr>
        <w:ind w:right="300" w:firstLine="221"/>
        <w:spacing w:after="0" w:line="330" w:lineRule="auto"/>
        <w:rPr>
          <w:sz w:val="20"/>
          <w:szCs w:val="20"/>
          <w:color w:val="auto"/>
        </w:rPr>
      </w:pPr>
      <w:r>
        <w:rPr>
          <w:rFonts w:ascii="Arial" w:cs="Arial" w:eastAsia="Arial" w:hAnsi="Arial"/>
          <w:sz w:val="15"/>
          <w:szCs w:val="15"/>
          <w:color w:val="auto"/>
        </w:rPr>
        <w:t>If you hold certificated debt securities, you may transfer or exchange such debt securities at the trustee’s office or at the paying agent’s office or agency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31" w:lineRule="exact"/>
        <w:rPr>
          <w:sz w:val="20"/>
          <w:szCs w:val="20"/>
          <w:color w:val="auto"/>
        </w:rPr>
      </w:pPr>
    </w:p>
    <w:p>
      <w:pPr>
        <w:jc w:val="both"/>
        <w:ind w:right="160" w:firstLine="214"/>
        <w:spacing w:after="0" w:line="366" w:lineRule="auto"/>
        <w:rPr>
          <w:sz w:val="20"/>
          <w:szCs w:val="20"/>
          <w:color w:val="auto"/>
        </w:rPr>
      </w:pPr>
      <w:r>
        <w:rPr>
          <w:rFonts w:ascii="Arial" w:cs="Arial" w:eastAsia="Arial" w:hAnsi="Arial"/>
          <w:sz w:val="15"/>
          <w:szCs w:val="15"/>
          <w:color w:val="auto"/>
        </w:rPr>
        <w:t>You may effect the transfer of certificated debt securities and of the right to receive the principal of, premium, and/or interest, if any, on the certificated debt securities only by surrendering the certificate representing the certificated debt securities and having us or the trustee issue a new certificate to the new holder.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17" w:lineRule="exact"/>
        <w:rPr>
          <w:sz w:val="20"/>
          <w:szCs w:val="20"/>
          <w:color w:val="auto"/>
        </w:rPr>
      </w:pPr>
    </w:p>
    <w:p>
      <w:pPr>
        <w:jc w:val="both"/>
        <w:ind w:right="160" w:firstLine="221"/>
        <w:spacing w:after="0" w:line="255" w:lineRule="auto"/>
        <w:rPr>
          <w:sz w:val="20"/>
          <w:szCs w:val="20"/>
          <w:color w:val="auto"/>
        </w:rPr>
      </w:pPr>
      <w:r>
        <w:rPr>
          <w:rFonts w:ascii="Arial" w:cs="Arial" w:eastAsia="Arial" w:hAnsi="Arial"/>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83" w:lineRule="exact"/>
        <w:rPr>
          <w:sz w:val="20"/>
          <w:szCs w:val="20"/>
          <w:color w:val="auto"/>
        </w:rPr>
      </w:pPr>
    </w:p>
    <w:p>
      <w:pPr>
        <w:ind w:firstLine="218"/>
        <w:spacing w:after="0" w:line="252" w:lineRule="auto"/>
        <w:rPr>
          <w:sz w:val="20"/>
          <w:szCs w:val="20"/>
          <w:color w:val="auto"/>
        </w:rPr>
      </w:pPr>
      <w:r>
        <w:rPr>
          <w:rFonts w:ascii="Arial" w:cs="Arial" w:eastAsia="Arial" w:hAnsi="Arial"/>
          <w:sz w:val="18"/>
          <w:szCs w:val="18"/>
          <w:color w:val="auto"/>
        </w:rPr>
        <w:t>The prospectus supplement will describe the specific terms of the depositary arrangement for debt securities of a series that are issued in global form. None of our company,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17" w:lineRule="exact"/>
        <w:rPr>
          <w:sz w:val="20"/>
          <w:szCs w:val="20"/>
          <w:color w:val="auto"/>
        </w:rPr>
      </w:pPr>
    </w:p>
    <w:p>
      <w:pPr>
        <w:ind w:right="20" w:firstLine="218"/>
        <w:spacing w:after="0" w:line="252"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debt securities additional protection in the event of a recapitalization transaction, a change of control of StemCells, Inc., or a highly leveraged transaction. If we offer any covenants or provisions of this type with respect to any debt securities covered by this prospectus, we will describe them in the applicable prospectus supplement.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right="200" w:firstLine="221"/>
        <w:spacing w:after="0" w:line="255" w:lineRule="auto"/>
        <w:rPr>
          <w:sz w:val="20"/>
          <w:szCs w:val="20"/>
          <w:color w:val="auto"/>
        </w:rPr>
      </w:pPr>
      <w:r>
        <w:rPr>
          <w:rFonts w:ascii="Arial" w:cs="Arial" w:eastAsia="Arial" w:hAnsi="Arial"/>
          <w:sz w:val="18"/>
          <w:szCs w:val="18"/>
          <w:color w:val="auto"/>
        </w:rPr>
        <w:t>Unless otherwise indicated in this prospectus or a prospectus supplement, the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17" w:lineRule="exact"/>
        <w:rPr>
          <w:sz w:val="20"/>
          <w:szCs w:val="20"/>
          <w:color w:val="auto"/>
        </w:rPr>
      </w:pPr>
    </w:p>
    <w:p>
      <w:pPr>
        <w:ind w:right="220" w:firstLine="218"/>
        <w:spacing w:after="0" w:line="265" w:lineRule="auto"/>
        <w:rPr>
          <w:sz w:val="20"/>
          <w:szCs w:val="20"/>
          <w:color w:val="auto"/>
        </w:rPr>
      </w:pPr>
      <w:r>
        <w:rPr>
          <w:rFonts w:ascii="Arial" w:cs="Arial" w:eastAsia="Arial" w:hAnsi="Arial"/>
          <w:sz w:val="18"/>
          <w:szCs w:val="18"/>
          <w:color w:val="auto"/>
        </w:rPr>
        <w:t>We have agreed in the indenture that we will not consolidate with or merge into any other person or convey, transfer, sell or lease our properties and assets substantially as an entirety to any person, unless:</w:t>
      </w:r>
    </w:p>
    <w:p>
      <w:pPr>
        <w:spacing w:after="0" w:line="73" w:lineRule="exact"/>
        <w:rPr>
          <w:sz w:val="20"/>
          <w:szCs w:val="20"/>
          <w:color w:val="auto"/>
        </w:rPr>
      </w:pPr>
    </w:p>
    <w:p>
      <w:pPr>
        <w:ind w:left="660" w:right="20" w:hanging="429"/>
        <w:spacing w:after="0" w:line="250"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if we are not the surviving person, the surviving person has expressly assumed all of our obligations, including the payment of the principal of and, premium, if any, and interest on the debt securities and the performance of the other covenants under the indenture; and</w:t>
      </w:r>
    </w:p>
    <w:p>
      <w:pPr>
        <w:spacing w:after="0" w:line="101" w:lineRule="exact"/>
        <w:rPr>
          <w:rFonts w:ascii="Arial" w:cs="Arial" w:eastAsia="Arial" w:hAnsi="Arial"/>
          <w:sz w:val="18"/>
          <w:szCs w:val="18"/>
          <w:b w:val="1"/>
          <w:bCs w:val="1"/>
          <w:color w:val="auto"/>
        </w:rPr>
      </w:pPr>
    </w:p>
    <w:p>
      <w:pPr>
        <w:ind w:left="660" w:hanging="429"/>
        <w:spacing w:after="0" w:line="265"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immediately before and immediately after giving effect to the transaction, no event of default, and no event which, after notice or lapse of time or both, would become an event of default, has occurred and is continuing under the indenture.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17" w:lineRule="exact"/>
        <w:rPr>
          <w:sz w:val="20"/>
          <w:szCs w:val="20"/>
          <w:color w:val="auto"/>
        </w:rPr>
      </w:pPr>
    </w:p>
    <w:p>
      <w:pPr>
        <w:ind w:right="240" w:firstLine="221"/>
        <w:spacing w:after="0" w:line="265" w:lineRule="auto"/>
        <w:rPr>
          <w:sz w:val="20"/>
          <w:szCs w:val="20"/>
          <w:color w:val="auto"/>
        </w:rPr>
      </w:pPr>
      <w:r>
        <w:rPr>
          <w:rFonts w:ascii="Arial" w:cs="Arial" w:eastAsia="Arial" w:hAnsi="Arial"/>
          <w:sz w:val="18"/>
          <w:szCs w:val="18"/>
          <w:color w:val="auto"/>
        </w:rPr>
        <w:t>Unless otherwise specified in the applicable prospectus supplement, the following events will be events of default under the indenture with respect to debt securities of any series:</w:t>
      </w:r>
    </w:p>
    <w:p>
      <w:pPr>
        <w:spacing w:after="0" w:line="73" w:lineRule="exact"/>
        <w:rPr>
          <w:sz w:val="20"/>
          <w:szCs w:val="20"/>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we fail to pay any principal or premium, if any, when it becomes due;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we fail to pay any interest within 30 days after it becomes due;</w:t>
      </w:r>
    </w:p>
    <w:p>
      <w:pPr>
        <w:spacing w:after="0" w:line="124" w:lineRule="exact"/>
        <w:rPr>
          <w:rFonts w:ascii="Arial" w:cs="Arial" w:eastAsia="Arial" w:hAnsi="Arial"/>
          <w:sz w:val="18"/>
          <w:szCs w:val="18"/>
          <w:b w:val="1"/>
          <w:bCs w:val="1"/>
          <w:color w:val="auto"/>
        </w:rPr>
      </w:pPr>
    </w:p>
    <w:p>
      <w:pPr>
        <w:ind w:left="660" w:right="160" w:hanging="429"/>
        <w:spacing w:after="0" w:line="294" w:lineRule="auto"/>
        <w:tabs>
          <w:tab w:leader="none" w:pos="6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64" w:lineRule="exact"/>
        <w:rPr>
          <w:rFonts w:ascii="Arial" w:cs="Arial" w:eastAsia="Arial" w:hAnsi="Arial"/>
          <w:sz w:val="17"/>
          <w:szCs w:val="17"/>
          <w:b w:val="1"/>
          <w:bCs w:val="1"/>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certain events involving bankruptcy, insolvency or reorganization of StemCells, Inc. or any of our significant subsidiaries.</w:t>
      </w:r>
    </w:p>
    <w:p>
      <w:pPr>
        <w:spacing w:after="0" w:line="111" w:lineRule="exact"/>
        <w:rPr>
          <w:sz w:val="20"/>
          <w:szCs w:val="20"/>
          <w:color w:val="auto"/>
        </w:rPr>
      </w:pPr>
    </w:p>
    <w:p>
      <w:pPr>
        <w:ind w:right="340" w:firstLine="218"/>
        <w:spacing w:after="0" w:line="366" w:lineRule="auto"/>
        <w:rPr>
          <w:sz w:val="20"/>
          <w:szCs w:val="20"/>
          <w:color w:val="auto"/>
        </w:rPr>
      </w:pPr>
      <w:r>
        <w:rPr>
          <w:rFonts w:ascii="Arial" w:cs="Arial" w:eastAsia="Arial" w:hAnsi="Arial"/>
          <w:sz w:val="15"/>
          <w:szCs w:val="15"/>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4" w:lineRule="exact"/>
        <w:rPr>
          <w:sz w:val="20"/>
          <w:szCs w:val="20"/>
          <w:color w:val="auto"/>
        </w:rPr>
      </w:pPr>
    </w:p>
    <w:p>
      <w:pPr>
        <w:ind w:right="20" w:firstLine="221"/>
        <w:spacing w:after="0" w:line="250" w:lineRule="auto"/>
        <w:rPr>
          <w:sz w:val="20"/>
          <w:szCs w:val="20"/>
          <w:color w:val="auto"/>
        </w:rPr>
      </w:pPr>
      <w:r>
        <w:rPr>
          <w:rFonts w:ascii="Arial" w:cs="Arial" w:eastAsia="Arial" w:hAnsi="Arial"/>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majority in aggregate principal amount of outstanding debt securities of such series may rescind and annul such acceleration if:</w:t>
      </w:r>
    </w:p>
    <w:p>
      <w:pPr>
        <w:spacing w:after="0" w:line="111" w:lineRule="exact"/>
        <w:rPr>
          <w:sz w:val="20"/>
          <w:szCs w:val="20"/>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all events of default (other than nonpayment of accelerated principal, premium or interest) have been cured or waived;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all lawful interest on overdue interest and overdue principal has been paid;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rescission would not conflict with any judgment or decree.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 addition, if the acceleration occurs at any time when we have outstanding indebtedness which is senior to the debt securities, the payment of the principal</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amount of outstanding debt securities may be subordinated in right of payment to the prior payment of any amounts due under the senior indebtedness, in which</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case the holders of debt securities will be entitled to payment under the terms prescribed in the instruments evidencing the senior indebtedness and the indenture.</w:t>
      </w:r>
    </w:p>
    <w:p>
      <w:pPr>
        <w:spacing w:after="0" w:line="134" w:lineRule="exact"/>
        <w:rPr>
          <w:sz w:val="20"/>
          <w:szCs w:val="20"/>
          <w:color w:val="auto"/>
        </w:rPr>
      </w:pPr>
    </w:p>
    <w:p>
      <w:pPr>
        <w:ind w:right="60" w:firstLine="221"/>
        <w:spacing w:after="0" w:line="255" w:lineRule="auto"/>
        <w:rPr>
          <w:sz w:val="20"/>
          <w:szCs w:val="20"/>
          <w:color w:val="auto"/>
        </w:rPr>
      </w:pPr>
      <w:r>
        <w:rPr>
          <w:rFonts w:ascii="Arial" w:cs="Arial" w:eastAsia="Arial" w:hAnsi="Arial"/>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83"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83" w:lineRule="exact"/>
        <w:rPr>
          <w:sz w:val="20"/>
          <w:szCs w:val="20"/>
          <w:color w:val="auto"/>
        </w:rPr>
      </w:pPr>
    </w:p>
    <w:p>
      <w:pPr>
        <w:ind w:right="140" w:firstLine="221"/>
        <w:spacing w:after="0" w:line="265" w:lineRule="auto"/>
        <w:rPr>
          <w:sz w:val="20"/>
          <w:szCs w:val="20"/>
          <w:color w:val="auto"/>
        </w:rPr>
      </w:pPr>
      <w:r>
        <w:rPr>
          <w:rFonts w:ascii="Arial" w:cs="Arial" w:eastAsia="Arial" w:hAnsi="Arial"/>
          <w:sz w:val="18"/>
          <w:szCs w:val="18"/>
          <w:color w:val="auto"/>
        </w:rPr>
        <w:t>No holder of any debt security of a series will have any right to institute any proceeding with respect to the indenture or for any remedy under the indenture, unless:</w:t>
      </w:r>
    </w:p>
    <w:p>
      <w:pPr>
        <w:spacing w:after="0" w:line="73" w:lineRule="exact"/>
        <w:rPr>
          <w:sz w:val="20"/>
          <w:szCs w:val="20"/>
          <w:color w:val="auto"/>
        </w:rPr>
      </w:pPr>
    </w:p>
    <w:p>
      <w:pPr>
        <w:ind w:left="660" w:hanging="429"/>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holder gives to the trustee written notice of a continuing event of default;</w:t>
      </w:r>
    </w:p>
    <w:p>
      <w:pPr>
        <w:spacing w:after="0" w:line="124" w:lineRule="exact"/>
        <w:rPr>
          <w:rFonts w:ascii="Arial" w:cs="Arial" w:eastAsia="Arial" w:hAnsi="Arial"/>
          <w:sz w:val="18"/>
          <w:szCs w:val="18"/>
          <w:b w:val="1"/>
          <w:bCs w:val="1"/>
          <w:color w:val="auto"/>
        </w:rPr>
      </w:pPr>
    </w:p>
    <w:p>
      <w:pPr>
        <w:ind w:left="660" w:right="500" w:hanging="429"/>
        <w:spacing w:after="0" w:line="265"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trustee fails to institute a proceeding within 60 days after such request; and</w:t>
      </w:r>
    </w:p>
    <w:p>
      <w:pPr>
        <w:spacing w:after="0" w:line="124" w:lineRule="exact"/>
        <w:rPr>
          <w:rFonts w:ascii="Arial" w:cs="Arial" w:eastAsia="Arial" w:hAnsi="Arial"/>
          <w:sz w:val="18"/>
          <w:szCs w:val="18"/>
          <w:b w:val="1"/>
          <w:bCs w:val="1"/>
          <w:color w:val="auto"/>
        </w:rPr>
      </w:pPr>
    </w:p>
    <w:p>
      <w:pPr>
        <w:ind w:left="660" w:right="560" w:hanging="429"/>
        <w:spacing w:after="0" w:line="265"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73" w:lineRule="exact"/>
        <w:rPr>
          <w:sz w:val="20"/>
          <w:szCs w:val="20"/>
          <w:color w:val="auto"/>
        </w:rPr>
      </w:pPr>
    </w:p>
    <w:p>
      <w:pPr>
        <w:ind w:right="600" w:firstLine="218"/>
        <w:spacing w:after="0" w:line="265" w:lineRule="auto"/>
        <w:rPr>
          <w:sz w:val="20"/>
          <w:szCs w:val="20"/>
          <w:color w:val="auto"/>
        </w:rPr>
      </w:pPr>
      <w:r>
        <w:rPr>
          <w:rFonts w:ascii="Arial" w:cs="Arial" w:eastAsia="Arial" w:hAnsi="Arial"/>
          <w:sz w:val="18"/>
          <w:szCs w:val="18"/>
          <w:color w:val="auto"/>
        </w:rPr>
        <w:t>These limitations do not, however, apply to a suit instituted for payment on debt securities of any series on or after the due dates expressed in the debt securities.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periodically deliver certificates to the trustee regarding our compliance with our obligations under the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17" w:lineRule="exact"/>
        <w:rPr>
          <w:sz w:val="20"/>
          <w:szCs w:val="20"/>
          <w:color w:val="auto"/>
        </w:rPr>
      </w:pPr>
    </w:p>
    <w:p>
      <w:pPr>
        <w:ind w:right="600" w:firstLine="221"/>
        <w:spacing w:after="0" w:line="265" w:lineRule="auto"/>
        <w:rPr>
          <w:sz w:val="20"/>
          <w:szCs w:val="20"/>
          <w:color w:val="auto"/>
        </w:rPr>
      </w:pPr>
      <w:r>
        <w:rPr>
          <w:rFonts w:ascii="Arial" w:cs="Arial" w:eastAsia="Arial" w:hAnsi="Arial"/>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73" w:lineRule="exact"/>
        <w:rPr>
          <w:sz w:val="20"/>
          <w:szCs w:val="20"/>
          <w:color w:val="auto"/>
        </w:rPr>
      </w:pPr>
    </w:p>
    <w:p>
      <w:pPr>
        <w:ind w:left="660" w:right="300" w:hanging="429"/>
        <w:spacing w:after="0" w:line="265"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to provide that the surviving entity following a change of control of StemCells, Inc. permitted under the indenture will assume all of our obligations under the indenture and debt securities;</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to provide for certificated debt securities in addition to uncertificated debt securities;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to comply with any requirements of the SEC under the Trust Indenture Act of 1939;</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660" w:hanging="429"/>
        <w:spacing w:after="0"/>
        <w:tabs>
          <w:tab w:leader="none" w:pos="66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25"/>
        </w:numPr>
        <w:rPr>
          <w:rFonts w:ascii="Arial" w:cs="Arial" w:eastAsia="Arial" w:hAnsi="Arial"/>
          <w:sz w:val="15"/>
          <w:szCs w:val="15"/>
          <w:b w:val="1"/>
          <w:bCs w:val="1"/>
          <w:color w:val="auto"/>
        </w:rPr>
      </w:pPr>
      <w:r>
        <w:rPr>
          <w:rFonts w:ascii="Arial" w:cs="Arial" w:eastAsia="Arial" w:hAnsi="Arial"/>
          <w:sz w:val="15"/>
          <w:szCs w:val="15"/>
          <w:color w:val="auto"/>
        </w:rPr>
        <w:t>to cure any ambiguity, defect or inconsistency, or make any other change that does not materially and adversely affect the rights of any holder; and</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to appoint a successor trustee under the indenture with respect to one or more series.</w:t>
      </w:r>
    </w:p>
    <w:p>
      <w:pPr>
        <w:spacing w:after="0" w:line="111" w:lineRule="exact"/>
        <w:rPr>
          <w:sz w:val="20"/>
          <w:szCs w:val="20"/>
          <w:color w:val="auto"/>
        </w:rPr>
      </w:pPr>
    </w:p>
    <w:p>
      <w:pPr>
        <w:ind w:firstLine="221"/>
        <w:spacing w:after="0" w:line="271" w:lineRule="auto"/>
        <w:rPr>
          <w:sz w:val="20"/>
          <w:szCs w:val="20"/>
          <w:color w:val="auto"/>
        </w:rPr>
      </w:pPr>
      <w:r>
        <w:rPr>
          <w:rFonts w:ascii="Arial" w:cs="Arial" w:eastAsia="Arial" w:hAnsi="Arial"/>
          <w:sz w:val="17"/>
          <w:szCs w:val="17"/>
          <w:color w:val="auto"/>
        </w:rPr>
        <w:t>From time to time we and the trustee may, with the consent of holders of at least a majority in principal amount of an outstanding series of debt securities, amend or supplement the indenture or the debt securities of such series, or waive compliance in a particular instance by us with any provision of the indenture or such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72" w:lineRule="exact"/>
        <w:rPr>
          <w:sz w:val="20"/>
          <w:szCs w:val="20"/>
          <w:color w:val="auto"/>
        </w:rPr>
      </w:pPr>
    </w:p>
    <w:p>
      <w:pPr>
        <w:ind w:left="660" w:hanging="429"/>
        <w:spacing w:after="0"/>
        <w:tabs>
          <w:tab w:leader="none" w:pos="660" w:val="left"/>
        </w:tabs>
        <w:numPr>
          <w:ilvl w:val="0"/>
          <w:numId w:val="26"/>
        </w:numPr>
        <w:rPr>
          <w:rFonts w:ascii="Arial" w:cs="Arial" w:eastAsia="Arial" w:hAnsi="Arial"/>
          <w:sz w:val="15"/>
          <w:szCs w:val="15"/>
          <w:b w:val="1"/>
          <w:bCs w:val="1"/>
          <w:color w:val="auto"/>
        </w:rPr>
      </w:pPr>
      <w:r>
        <w:rPr>
          <w:rFonts w:ascii="Arial" w:cs="Arial" w:eastAsia="Arial" w:hAnsi="Arial"/>
          <w:sz w:val="15"/>
          <w:szCs w:val="15"/>
          <w:color w:val="auto"/>
        </w:rPr>
        <w:t>reduce the amount of debt securities whose holders must consent to an amendment, supplement, or waiver to the indenture or such debt security;</w:t>
      </w:r>
    </w:p>
    <w:p>
      <w:pPr>
        <w:spacing w:after="0" w:line="158" w:lineRule="exact"/>
        <w:rPr>
          <w:rFonts w:ascii="Arial" w:cs="Arial" w:eastAsia="Arial" w:hAnsi="Arial"/>
          <w:sz w:val="15"/>
          <w:szCs w:val="15"/>
          <w:b w:val="1"/>
          <w:bCs w:val="1"/>
          <w:color w:val="auto"/>
        </w:rPr>
      </w:pPr>
    </w:p>
    <w:p>
      <w:pPr>
        <w:ind w:left="660" w:right="540" w:hanging="429"/>
        <w:spacing w:after="0" w:line="265"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reduce the rate of or change the time for payment of interest or reduce amount of or postpone the date for payment of sinking fund or analogous obligations;</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reduce the principal of or change the stated maturity of the debt securities;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make any debt security payable in money other than that stated in the debt security;</w:t>
      </w:r>
    </w:p>
    <w:p>
      <w:pPr>
        <w:spacing w:after="0" w:line="124" w:lineRule="exact"/>
        <w:rPr>
          <w:rFonts w:ascii="Arial" w:cs="Arial" w:eastAsia="Arial" w:hAnsi="Arial"/>
          <w:sz w:val="18"/>
          <w:szCs w:val="18"/>
          <w:b w:val="1"/>
          <w:bCs w:val="1"/>
          <w:color w:val="auto"/>
        </w:rPr>
      </w:pPr>
    </w:p>
    <w:p>
      <w:pPr>
        <w:ind w:left="660" w:right="300" w:hanging="429"/>
        <w:spacing w:after="0" w:line="265"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change the amount or time of any payment required or reduce the premium payable upon any redemption, or change the time before which no such redemption may be made;</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waive a default in the payment of the principal of, premium, if any, or interest on the debt securities or a redemption payment;</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waive a redemption payment with respect to any debt securities or change any provision with respect to redemption of debt securities; or</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take any other action otherwise prohibited by the indenture to be taken without the consent of each holder affected by the 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17" w:lineRule="exact"/>
        <w:rPr>
          <w:sz w:val="20"/>
          <w:szCs w:val="20"/>
          <w:color w:val="auto"/>
        </w:rPr>
      </w:pPr>
    </w:p>
    <w:p>
      <w:pPr>
        <w:ind w:right="760" w:firstLine="218"/>
        <w:spacing w:after="0" w:line="265" w:lineRule="auto"/>
        <w:rPr>
          <w:sz w:val="20"/>
          <w:szCs w:val="20"/>
          <w:color w:val="auto"/>
        </w:rPr>
      </w:pPr>
      <w:r>
        <w:rPr>
          <w:rFonts w:ascii="Arial" w:cs="Arial" w:eastAsia="Arial" w:hAnsi="Arial"/>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73" w:lineRule="exact"/>
        <w:rPr>
          <w:sz w:val="20"/>
          <w:szCs w:val="20"/>
          <w:color w:val="auto"/>
        </w:rPr>
      </w:pPr>
    </w:p>
    <w:p>
      <w:pPr>
        <w:ind w:left="660" w:right="620" w:hanging="429"/>
        <w:spacing w:after="0" w:line="265"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to defease and be discharged from any and all of our obligations with respect to any debt securities except for the following obligations (which discharge is referred to as “legal defeasance”):</w:t>
      </w:r>
    </w:p>
    <w:p>
      <w:pPr>
        <w:spacing w:after="0" w:line="73" w:lineRule="exact"/>
        <w:rPr>
          <w:rFonts w:ascii="Arial" w:cs="Arial" w:eastAsia="Arial" w:hAnsi="Arial"/>
          <w:sz w:val="18"/>
          <w:szCs w:val="18"/>
          <w:b w:val="1"/>
          <w:bCs w:val="1"/>
          <w:color w:val="auto"/>
        </w:rPr>
      </w:pPr>
    </w:p>
    <w:p>
      <w:pPr>
        <w:ind w:left="1140" w:hanging="250"/>
        <w:spacing w:after="0"/>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register the transfer or exchange of such debt securities;</w:t>
      </w:r>
    </w:p>
    <w:p>
      <w:pPr>
        <w:spacing w:after="0" w:line="111" w:lineRule="exact"/>
        <w:rPr>
          <w:rFonts w:ascii="Arial" w:cs="Arial" w:eastAsia="Arial" w:hAnsi="Arial"/>
          <w:sz w:val="18"/>
          <w:szCs w:val="18"/>
          <w:color w:val="auto"/>
        </w:rPr>
      </w:pPr>
    </w:p>
    <w:p>
      <w:pPr>
        <w:ind w:left="1140" w:hanging="250"/>
        <w:spacing w:after="0"/>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replace temporary or mutilated, destroyed, lost or stolen debt securities;</w:t>
      </w:r>
    </w:p>
    <w:p>
      <w:pPr>
        <w:spacing w:after="0" w:line="111" w:lineRule="exact"/>
        <w:rPr>
          <w:rFonts w:ascii="Arial" w:cs="Arial" w:eastAsia="Arial" w:hAnsi="Arial"/>
          <w:sz w:val="18"/>
          <w:szCs w:val="18"/>
          <w:color w:val="auto"/>
        </w:rPr>
      </w:pPr>
    </w:p>
    <w:p>
      <w:pPr>
        <w:ind w:left="1140" w:hanging="250"/>
        <w:spacing w:after="0"/>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compensate and indemnify the trustee; or</w:t>
      </w:r>
    </w:p>
    <w:p>
      <w:pPr>
        <w:spacing w:after="0" w:line="111" w:lineRule="exact"/>
        <w:rPr>
          <w:rFonts w:ascii="Arial" w:cs="Arial" w:eastAsia="Arial" w:hAnsi="Arial"/>
          <w:sz w:val="18"/>
          <w:szCs w:val="18"/>
          <w:color w:val="auto"/>
        </w:rPr>
      </w:pPr>
    </w:p>
    <w:p>
      <w:pPr>
        <w:ind w:left="1140" w:hanging="250"/>
        <w:spacing w:after="0"/>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maintain an office or agency in respect of the debt securities and to hold monies for payment in trust; or</w:t>
      </w:r>
    </w:p>
    <w:p>
      <w:pPr>
        <w:spacing w:after="0" w:line="111" w:lineRule="exact"/>
        <w:rPr>
          <w:rFonts w:ascii="Arial" w:cs="Arial" w:eastAsia="Arial" w:hAnsi="Arial"/>
          <w:sz w:val="18"/>
          <w:szCs w:val="18"/>
          <w:color w:val="auto"/>
        </w:rPr>
      </w:pPr>
    </w:p>
    <w:p>
      <w:pPr>
        <w:ind w:left="660" w:right="400" w:hanging="429"/>
        <w:spacing w:after="0" w:line="366" w:lineRule="auto"/>
        <w:tabs>
          <w:tab w:leader="none" w:pos="660" w:val="left"/>
        </w:tabs>
        <w:numPr>
          <w:ilvl w:val="0"/>
          <w:numId w:val="27"/>
        </w:numPr>
        <w:rPr>
          <w:rFonts w:ascii="Arial" w:cs="Arial" w:eastAsia="Arial" w:hAnsi="Arial"/>
          <w:sz w:val="15"/>
          <w:szCs w:val="15"/>
          <w:b w:val="1"/>
          <w:bCs w:val="1"/>
          <w:color w:val="auto"/>
        </w:rPr>
      </w:pPr>
      <w:r>
        <w:rPr>
          <w:rFonts w:ascii="Arial" w:cs="Arial" w:eastAsia="Arial" w:hAnsi="Arial"/>
          <w:sz w:val="15"/>
          <w:szCs w:val="15"/>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order to exercise either defeasance option, we must deposit with the trustee or other qualifying trustee, in trust for that purpose:</w:t>
      </w:r>
    </w:p>
    <w:p>
      <w:pPr>
        <w:spacing w:after="0" w:line="111" w:lineRule="exact"/>
        <w:rPr>
          <w:sz w:val="20"/>
          <w:szCs w:val="20"/>
          <w:color w:val="auto"/>
        </w:rPr>
      </w:pPr>
    </w:p>
    <w:p>
      <w:pPr>
        <w:ind w:left="660" w:hanging="429"/>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money;</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right="120" w:hanging="429"/>
        <w:spacing w:after="0" w:line="265"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U.S. Government Obligations (as described below) or Foreign Government Obligations (as described below) which through the scheduled payment of principal and interest in accordance with their terms will provide money; or</w:t>
      </w:r>
    </w:p>
    <w:p>
      <w:pPr>
        <w:spacing w:after="0" w:line="86" w:lineRule="exact"/>
        <w:rPr>
          <w:rFonts w:ascii="Arial" w:cs="Arial" w:eastAsia="Arial" w:hAnsi="Arial"/>
          <w:sz w:val="18"/>
          <w:szCs w:val="18"/>
          <w:b w:val="1"/>
          <w:bCs w:val="1"/>
          <w:color w:val="auto"/>
        </w:rPr>
      </w:pPr>
    </w:p>
    <w:p>
      <w:pPr>
        <w:ind w:left="660" w:right="40" w:hanging="429"/>
        <w:spacing w:after="0" w:line="265"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 combination of money and/or U.S. Government Obligations and/or Foreign Government Obligations sufficient, in the written opinion of a nationally-recognized firm of independent accountants, to provide money;</w:t>
      </w:r>
    </w:p>
    <w:p>
      <w:pPr>
        <w:spacing w:after="0" w:line="73"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which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addition, defeasance may be effected only if, among other things:</w:t>
      </w:r>
    </w:p>
    <w:p>
      <w:pPr>
        <w:spacing w:after="0" w:line="111" w:lineRule="exact"/>
        <w:rPr>
          <w:sz w:val="20"/>
          <w:szCs w:val="20"/>
          <w:color w:val="auto"/>
        </w:rPr>
      </w:pPr>
    </w:p>
    <w:p>
      <w:pPr>
        <w:ind w:left="660" w:right="40" w:hanging="429"/>
        <w:spacing w:after="0" w:line="366" w:lineRule="auto"/>
        <w:tabs>
          <w:tab w:leader="none" w:pos="660" w:val="left"/>
        </w:tabs>
        <w:numPr>
          <w:ilvl w:val="0"/>
          <w:numId w:val="30"/>
        </w:numPr>
        <w:rPr>
          <w:rFonts w:ascii="Arial" w:cs="Arial" w:eastAsia="Arial" w:hAnsi="Arial"/>
          <w:sz w:val="15"/>
          <w:szCs w:val="15"/>
          <w:b w:val="1"/>
          <w:bCs w:val="1"/>
          <w:color w:val="auto"/>
        </w:rPr>
      </w:pPr>
      <w:r>
        <w:rPr>
          <w:rFonts w:ascii="Arial" w:cs="Arial" w:eastAsia="Arial" w:hAnsi="Arial"/>
          <w:sz w:val="15"/>
          <w:szCs w:val="15"/>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17" w:lineRule="exact"/>
        <w:rPr>
          <w:rFonts w:ascii="Arial" w:cs="Arial" w:eastAsia="Arial" w:hAnsi="Arial"/>
          <w:sz w:val="15"/>
          <w:szCs w:val="15"/>
          <w:b w:val="1"/>
          <w:bCs w:val="1"/>
          <w:color w:val="auto"/>
        </w:rPr>
      </w:pPr>
    </w:p>
    <w:p>
      <w:pPr>
        <w:ind w:left="660" w:right="40" w:hanging="429"/>
        <w:spacing w:after="0" w:line="312" w:lineRule="auto"/>
        <w:tabs>
          <w:tab w:leader="none" w:pos="660" w:val="left"/>
        </w:tabs>
        <w:numPr>
          <w:ilvl w:val="0"/>
          <w:numId w:val="30"/>
        </w:numPr>
        <w:rPr>
          <w:rFonts w:ascii="Arial" w:cs="Arial" w:eastAsia="Arial" w:hAnsi="Arial"/>
          <w:sz w:val="15"/>
          <w:szCs w:val="15"/>
          <w:b w:val="1"/>
          <w:bCs w:val="1"/>
          <w:color w:val="auto"/>
        </w:rPr>
      </w:pPr>
      <w:r>
        <w:rPr>
          <w:rFonts w:ascii="Arial" w:cs="Arial" w:eastAsia="Arial" w:hAnsi="Arial"/>
          <w:sz w:val="15"/>
          <w:szCs w:val="15"/>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58" w:lineRule="exact"/>
        <w:rPr>
          <w:rFonts w:ascii="Arial" w:cs="Arial" w:eastAsia="Arial" w:hAnsi="Arial"/>
          <w:sz w:val="15"/>
          <w:szCs w:val="15"/>
          <w:b w:val="1"/>
          <w:bCs w:val="1"/>
          <w:color w:val="auto"/>
        </w:rPr>
      </w:pPr>
    </w:p>
    <w:p>
      <w:pPr>
        <w:jc w:val="both"/>
        <w:ind w:left="660" w:right="240" w:hanging="429"/>
        <w:spacing w:after="0" w:line="330" w:lineRule="auto"/>
        <w:tabs>
          <w:tab w:leader="none" w:pos="660" w:val="left"/>
        </w:tabs>
        <w:numPr>
          <w:ilvl w:val="0"/>
          <w:numId w:val="30"/>
        </w:numPr>
        <w:rPr>
          <w:rFonts w:ascii="Arial" w:cs="Arial" w:eastAsia="Arial" w:hAnsi="Arial"/>
          <w:sz w:val="15"/>
          <w:szCs w:val="15"/>
          <w:b w:val="1"/>
          <w:bCs w:val="1"/>
          <w:color w:val="auto"/>
        </w:rPr>
      </w:pPr>
      <w:r>
        <w:rPr>
          <w:rFonts w:ascii="Arial" w:cs="Arial" w:eastAsia="Arial" w:hAnsi="Arial"/>
          <w:sz w:val="15"/>
          <w:szCs w:val="15"/>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44" w:lineRule="exact"/>
        <w:rPr>
          <w:rFonts w:ascii="Arial" w:cs="Arial" w:eastAsia="Arial" w:hAnsi="Arial"/>
          <w:sz w:val="15"/>
          <w:szCs w:val="15"/>
          <w:b w:val="1"/>
          <w:bCs w:val="1"/>
          <w:color w:val="auto"/>
        </w:rPr>
      </w:pPr>
    </w:p>
    <w:p>
      <w:pPr>
        <w:ind w:left="660" w:hanging="429"/>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certain other conditions described in the indenture are satisfied.</w:t>
      </w:r>
    </w:p>
    <w:p>
      <w:pPr>
        <w:spacing w:after="0" w:line="111" w:lineRule="exact"/>
        <w:rPr>
          <w:sz w:val="20"/>
          <w:szCs w:val="20"/>
          <w:color w:val="auto"/>
        </w:rPr>
      </w:pPr>
    </w:p>
    <w:p>
      <w:pPr>
        <w:ind w:right="100" w:firstLine="221"/>
        <w:spacing w:after="0" w:line="318" w:lineRule="auto"/>
        <w:rPr>
          <w:sz w:val="20"/>
          <w:szCs w:val="20"/>
          <w:color w:val="auto"/>
        </w:rPr>
      </w:pPr>
      <w:r>
        <w:rPr>
          <w:rFonts w:ascii="Arial" w:cs="Arial" w:eastAsia="Arial" w:hAnsi="Arial"/>
          <w:sz w:val="15"/>
          <w:szCs w:val="15"/>
          <w:color w:val="auto"/>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40" w:lineRule="exact"/>
        <w:rPr>
          <w:sz w:val="20"/>
          <w:szCs w:val="20"/>
          <w:color w:val="auto"/>
        </w:rPr>
      </w:pPr>
    </w:p>
    <w:p>
      <w:pPr>
        <w:ind w:right="60" w:firstLine="218"/>
        <w:spacing w:after="0" w:line="366" w:lineRule="auto"/>
        <w:rPr>
          <w:sz w:val="20"/>
          <w:szCs w:val="20"/>
          <w:color w:val="auto"/>
        </w:rPr>
      </w:pPr>
      <w:r>
        <w:rPr>
          <w:rFonts w:ascii="Arial" w:cs="Arial" w:eastAsia="Arial" w:hAnsi="Arial"/>
          <w:sz w:val="15"/>
          <w:szCs w:val="15"/>
          <w:color w:val="auto"/>
        </w:rPr>
        <w:t>The term “U.S. Government Obligations” as used in the above discussion means securities which are direct obligations of or non-callable obligations guaranteed by the United States of America for the payment of which obligation or guarantee the full faith and credit of the United States of America is pledged.</w:t>
      </w:r>
    </w:p>
    <w:p>
      <w:pPr>
        <w:spacing w:after="0" w:line="4" w:lineRule="exact"/>
        <w:rPr>
          <w:sz w:val="20"/>
          <w:szCs w:val="20"/>
          <w:color w:val="auto"/>
        </w:rPr>
      </w:pPr>
    </w:p>
    <w:p>
      <w:pPr>
        <w:ind w:firstLine="218"/>
        <w:spacing w:after="0" w:line="250" w:lineRule="auto"/>
        <w:rPr>
          <w:sz w:val="20"/>
          <w:szCs w:val="20"/>
          <w:color w:val="auto"/>
        </w:rPr>
      </w:pPr>
      <w:r>
        <w:rPr>
          <w:rFonts w:ascii="Arial" w:cs="Arial" w:eastAsia="Arial" w:hAnsi="Arial"/>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117"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We will identify the trustee with respect to any series of debt securities in the prospectus supplement relating to the applicable debt securities. You should note that if the trustee becomes a creditor of StemCells, Inc., the indenture and the Trust Indenture Act of 1939 limit the rights of the trustee to obtain payment of claims in certain cases, or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83" w:lineRule="exact"/>
        <w:rPr>
          <w:sz w:val="20"/>
          <w:szCs w:val="20"/>
          <w:color w:val="auto"/>
        </w:rPr>
      </w:pPr>
    </w:p>
    <w:p>
      <w:pPr>
        <w:ind w:firstLine="218"/>
        <w:spacing w:after="0" w:line="250" w:lineRule="auto"/>
        <w:rPr>
          <w:sz w:val="20"/>
          <w:szCs w:val="20"/>
          <w:color w:val="auto"/>
        </w:rPr>
      </w:pPr>
      <w:r>
        <w:rPr>
          <w:rFonts w:ascii="Arial" w:cs="Arial" w:eastAsia="Arial" w:hAnsi="Arial"/>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17" w:lineRule="exact"/>
        <w:rPr>
          <w:sz w:val="20"/>
          <w:szCs w:val="20"/>
          <w:color w:val="auto"/>
        </w:rPr>
      </w:pPr>
    </w:p>
    <w:p>
      <w:pPr>
        <w:ind w:right="120" w:firstLine="218"/>
        <w:spacing w:after="0" w:line="294" w:lineRule="auto"/>
        <w:rPr>
          <w:sz w:val="20"/>
          <w:szCs w:val="20"/>
          <w:color w:val="auto"/>
        </w:rPr>
      </w:pPr>
      <w:r>
        <w:rPr>
          <w:rFonts w:ascii="Arial" w:cs="Arial" w:eastAsia="Arial" w:hAnsi="Arial"/>
          <w:sz w:val="17"/>
          <w:szCs w:val="17"/>
          <w:color w:val="auto"/>
        </w:rPr>
        <w:t>We have filed a registration statement on Form S-3 with the SEC for the stock we are offering by this prospectus. This prospectus does not include all of the information contained in the registration statement. You should refer to the registration statement and its exhibits for additional information.</w:t>
      </w:r>
    </w:p>
    <w:p>
      <w:pPr>
        <w:spacing w:after="0" w:line="51" w:lineRule="exact"/>
        <w:rPr>
          <w:sz w:val="20"/>
          <w:szCs w:val="20"/>
          <w:color w:val="auto"/>
        </w:rPr>
      </w:pPr>
    </w:p>
    <w:p>
      <w:pPr>
        <w:ind w:right="60" w:firstLine="218"/>
        <w:spacing w:after="0" w:line="252" w:lineRule="auto"/>
        <w:rPr>
          <w:sz w:val="20"/>
          <w:szCs w:val="20"/>
          <w:color w:val="auto"/>
        </w:rPr>
      </w:pPr>
      <w:r>
        <w:rPr>
          <w:rFonts w:ascii="Arial" w:cs="Arial" w:eastAsia="Arial" w:hAnsi="Arial"/>
          <w:sz w:val="18"/>
          <w:szCs w:val="18"/>
          <w:color w:val="auto"/>
        </w:rPr>
        <w:t>We are required to file annual and quarterly reports, special reports, proxy statements, and other information with the SEC. We make these documents publicly available, free of charge, on our website at www.stemcellsinc.com as soon as reasonably practicable after filing such documents with the SEC. You can read our SEC filings, including the registration statement, on the SEC’s website at http://www.sec.gov. You also may read and copy any document we file with the SEC at its public reference facility at:</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Public Reference Room</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 F Street N.E.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Please call the SEC at 1-800-732-0330 for further information on the operation of the public reference facilities.</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17" w:lineRule="exact"/>
        <w:rPr>
          <w:sz w:val="20"/>
          <w:szCs w:val="20"/>
          <w:color w:val="auto"/>
        </w:rPr>
      </w:pPr>
    </w:p>
    <w:p>
      <w:pPr>
        <w:ind w:right="20" w:firstLine="218"/>
        <w:spacing w:after="0" w:line="267" w:lineRule="auto"/>
        <w:rPr>
          <w:sz w:val="20"/>
          <w:szCs w:val="20"/>
          <w:color w:val="auto"/>
        </w:rPr>
      </w:pPr>
      <w:r>
        <w:rPr>
          <w:rFonts w:ascii="Arial" w:cs="Arial" w:eastAsia="Arial" w:hAnsi="Arial"/>
          <w:sz w:val="17"/>
          <w:szCs w:val="17"/>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the documents listed below into this prospectus, and any future filings made by us with the SEC under Section 13(a), 13(c), 14 or 15(d) of the Exchange Act until we close this offering, including all filings made after the date of the initial registration statement and prior to the effectiveness of the registration statement. We hereby incorporate by reference the following documents:</w:t>
      </w:r>
    </w:p>
    <w:p>
      <w:pPr>
        <w:spacing w:after="0" w:line="74" w:lineRule="exact"/>
        <w:rPr>
          <w:sz w:val="20"/>
          <w:szCs w:val="20"/>
          <w:color w:val="auto"/>
        </w:rPr>
      </w:pPr>
    </w:p>
    <w:p>
      <w:pPr>
        <w:ind w:left="660" w:hanging="429"/>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(as amended) for the year ended December 31, 2007 (File No. 000-19871);</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Our Quarterly Report on Form 10-Q for the quarter ended March 31, 2008 (File No. 000-19871);</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Our Current Reports on Form 8-K filed on March 5, 2008, March 21, 2008 and May 13, 2008 (File No. 000-19871);</w:t>
      </w:r>
    </w:p>
    <w:p>
      <w:pPr>
        <w:spacing w:after="0" w:line="124" w:lineRule="exact"/>
        <w:rPr>
          <w:rFonts w:ascii="Arial" w:cs="Arial" w:eastAsia="Arial" w:hAnsi="Arial"/>
          <w:sz w:val="18"/>
          <w:szCs w:val="18"/>
          <w:b w:val="1"/>
          <w:bCs w:val="1"/>
          <w:color w:val="auto"/>
        </w:rPr>
      </w:pPr>
    </w:p>
    <w:p>
      <w:pPr>
        <w:ind w:left="660" w:right="460" w:hanging="429"/>
        <w:spacing w:after="0" w:line="265"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description of our common stock contained in our registration statements on Form 8-A (File No. 000-19871) filed August 3, 1998, under the Exchange Act, including any amendment or report filed for the purpose of updating such description; and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Our definitive Proxy Statement on Form DEF 14A filed on June 9, 2008 (File No. 000-19871).</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StemCells,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3155 Porter Drive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Palo Alto, Ca 94304</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(650) 475-3100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irpr@stemcellsinc.com</w:t>
      </w:r>
    </w:p>
    <w:p>
      <w:pPr>
        <w:spacing w:after="0" w:line="100" w:lineRule="exact"/>
        <w:rPr>
          <w:sz w:val="20"/>
          <w:szCs w:val="20"/>
          <w:color w:val="auto"/>
        </w:rPr>
      </w:pPr>
    </w:p>
    <w:p>
      <w:pPr>
        <w:ind w:firstLine="442"/>
        <w:spacing w:after="0" w:line="265" w:lineRule="auto"/>
        <w:rPr>
          <w:sz w:val="20"/>
          <w:szCs w:val="20"/>
          <w:color w:val="auto"/>
        </w:rPr>
      </w:pPr>
      <w:r>
        <w:rPr>
          <w:rFonts w:ascii="Arial" w:cs="Arial" w:eastAsia="Arial" w:hAnsi="Arial"/>
          <w:sz w:val="18"/>
          <w:szCs w:val="18"/>
          <w:color w:val="auto"/>
        </w:rPr>
        <w:t>Copies of these filings are also available, without charge, on our Internet website at www.stemcellsinc.com as soon as reasonably practicable after they are filed electronically with the SEC. The information contained on our website is not a part of this prospectus.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300" w:firstLine="218"/>
        <w:spacing w:after="0" w:line="294" w:lineRule="auto"/>
        <w:rPr>
          <w:sz w:val="20"/>
          <w:szCs w:val="20"/>
          <w:color w:val="auto"/>
        </w:rPr>
      </w:pPr>
      <w:r>
        <w:rPr>
          <w:rFonts w:ascii="Arial" w:cs="Arial" w:eastAsia="Arial" w:hAnsi="Arial"/>
          <w:sz w:val="17"/>
          <w:szCs w:val="17"/>
          <w:color w:val="auto"/>
        </w:rPr>
        <w:t>The validity of the issuance of the securities offered hereby will be passed upon for us by Ropes &amp; Gray LLP, Boston, Massachusetts. The validity of any securities will be passed upon for any underwriters or agents by counsel that we will name in the applicable prospectus supplement.</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right="160" w:firstLine="218"/>
        <w:spacing w:after="0" w:line="271" w:lineRule="auto"/>
        <w:rPr>
          <w:sz w:val="20"/>
          <w:szCs w:val="20"/>
          <w:color w:val="auto"/>
        </w:rPr>
      </w:pPr>
      <w:r>
        <w:rPr>
          <w:rFonts w:ascii="Arial" w:cs="Arial" w:eastAsia="Arial" w:hAnsi="Arial"/>
          <w:sz w:val="17"/>
          <w:szCs w:val="17"/>
          <w:color w:val="auto"/>
        </w:rPr>
        <w:t xml:space="preserve">The consolidated financial statements and management’s assessment of the effectiveness of internal control over financial reporting have been incorporated by reference herein and in the registration statement in reliance upon the reports of Grant Thornton LLP, independent registered public accountants (which reports expressed an unqualified opinion and contain an explanatory paragraph relating to the adoption of Statement of Financial Accounting Standards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upon the authority of said firm as experts in accounting and auditing.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$100,000,000</w:t>
      </w:r>
    </w:p>
    <w:p>
      <w:pPr>
        <w:spacing w:after="0" w:line="11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StemCells, Inc.</w:t>
      </w:r>
    </w:p>
    <w:p>
      <w:pPr>
        <w:spacing w:after="0" w:line="11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Common Stock</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Preferred Stock</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Warrants</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Debt Securities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July 18, 2008</w:t>
      </w:r>
    </w:p>
    <w:p>
      <w:pPr>
        <w:spacing w:after="0" w:line="1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shares in any jurisdiction where it is unlawful. Neither the delivery of this prospectus, nor any sale made hereunder, shall create any implication that the information in this prospectus is correct after the date hereof.</w:t>
      </w:r>
    </w:p>
    <w:sectPr>
      <w:pgSz w:w="11900" w:h="16838" w:orient="portrait"/>
      <w:cols w:equalWidth="0" w:num="1">
        <w:col w:w="11340"/>
      </w:cols>
      <w:pgMar w:left="240" w:top="41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650"/>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lvl w:ilvl="1">
      <w:lvlJc w:val="left"/>
      <w:lvlText w:val="(%2)"/>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2019-12-13T21:47:39Z</dcterms:created>
  <dcterms:modified xsi:type="dcterms:W3CDTF">2019-12-13T21:47:39Z</dcterms:modified>
</cp:coreProperties>
</file>