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1, 2025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175 Derby St., Bld. 27</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Hingham, MA 02043</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On October 1, 2025, Microbot Medical Inc. (the “Company”) issued a press release announcing that the Japanese Patent Office has granted the Company its first patent in Japan, covering the core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System technology.</w:t>
      </w:r>
    </w:p>
    <w:p>
      <w:pPr>
        <w:spacing w:after="0" w:line="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press release, which is furnished as Exhibit 99.1 to this Current Report on Form 8-K, is incorporated herein by reference. The information in this Item 7.01 and Exhibit 99.1 is being furnished and shall not be deemed to be “filed” for the purposes of Section 18 of the Securities Exchange Act of 1934, as amended, or otherwise subject to the liabilities of that section. This report will not be deemed an admission as to the materiality of any information in this Item 7.01 or Exhibit 99.1.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33"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Japanese Patent Office has granted the Company its first patent in Japan, covering the core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System technology, such as a compact robotic device for driving and manipulating movement of at least one elongate surgical tool.</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 Looking Statements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Item 8.01 of this Current Report on Form 8-K may contain “forward-looking statements.” Such statements which are not purely historical (including, but not limited to statements that contain words such as “will,” “believes,” “plans,” “anticipates,” “expects,” “intends,” “would,” “could” and “estimates”) are forward-looking statements and include any statements regarding beliefs, plans, expectations or intentions regarding the future, including but not limited to, regulatory milestones.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Actual results could differ from those projected in any forward-looking statements due to numerous factors. These forward-looking statements are made as of the date of this Form 8-K, and the Company assumes no obligation to update the forward-looking statements, or to update the reasons why actual results could differ from those projected in the forward-looking statements, except as required by law. Although the Company believes that the beliefs, plans, expectations and intentions contained in this Form 8-K are reasonable, there can be no assurance that such beliefs, plans, expectations or intentions will prove to be accurate. Investors should consult all of the information set forth herein and should also refer to the risk factors disclosure outlined in the Company’s reports and statements filed from time-to-time with the Securities and Exchange Commission.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tc>
        <w:tc>
          <w:tcPr>
            <w:tcW w:w="980" w:type="dxa"/>
            <w:vAlign w:val="bottom"/>
          </w:tcPr>
          <w:p>
            <w:pPr>
              <w:spacing w:after="0"/>
              <w:rPr>
                <w:sz w:val="20"/>
                <w:szCs w:val="20"/>
                <w:color w:val="auto"/>
              </w:rPr>
            </w:pPr>
          </w:p>
        </w:tc>
        <w:tc>
          <w:tcPr>
            <w:tcW w:w="9140" w:type="dxa"/>
            <w:vAlign w:val="bottom"/>
          </w:tcPr>
          <w:p>
            <w:pPr>
              <w:spacing w:after="0"/>
              <w:rPr>
                <w:sz w:val="20"/>
                <w:szCs w:val="20"/>
                <w:color w:val="auto"/>
              </w:rPr>
            </w:pPr>
          </w:p>
        </w:tc>
      </w:tr>
      <w:tr>
        <w:trPr>
          <w:trHeight w:val="410"/>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80" w:type="dxa"/>
            <w:vAlign w:val="bottom"/>
          </w:tcPr>
          <w:p>
            <w:pPr>
              <w:spacing w:after="0"/>
              <w:rPr>
                <w:sz w:val="24"/>
                <w:szCs w:val="24"/>
                <w:color w:val="auto"/>
              </w:rPr>
            </w:pPr>
          </w:p>
        </w:tc>
        <w:tc>
          <w:tcPr>
            <w:tcW w:w="9140" w:type="dxa"/>
            <w:vAlign w:val="bottom"/>
          </w:tcPr>
          <w:p>
            <w:pPr>
              <w:spacing w:after="0"/>
              <w:rPr>
                <w:sz w:val="24"/>
                <w:szCs w:val="24"/>
                <w:color w:val="auto"/>
              </w:rPr>
            </w:pPr>
          </w:p>
        </w:tc>
      </w:tr>
      <w:tr>
        <w:trPr>
          <w:trHeight w:val="238"/>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140" w:type="dxa"/>
            <w:vAlign w:val="bottom"/>
          </w:tcPr>
          <w:p>
            <w:pPr>
              <w:spacing w:after="0"/>
              <w:rPr>
                <w:sz w:val="24"/>
                <w:szCs w:val="24"/>
                <w:color w:val="auto"/>
              </w:rPr>
            </w:pPr>
          </w:p>
        </w:tc>
        <w:tc>
          <w:tcPr>
            <w:tcW w:w="980" w:type="dxa"/>
            <w:vAlign w:val="bottom"/>
            <w:tcBorders>
              <w:top w:val="single" w:sz="8" w:color="auto"/>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Press Release</w:t>
            </w:r>
          </w:p>
        </w:tc>
        <w:tc>
          <w:tcPr>
            <w:tcW w:w="9140" w:type="dxa"/>
            <w:vAlign w:val="bottom"/>
            <w:tcBorders>
              <w:top w:val="single" w:sz="8" w:color="auto"/>
            </w:tcBorders>
          </w:tcPr>
          <w:p>
            <w:pPr>
              <w:spacing w:after="0"/>
              <w:rPr>
                <w:sz w:val="24"/>
                <w:szCs w:val="24"/>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0"/>
                <w:szCs w:val="20"/>
                <w:color w:val="auto"/>
              </w:rPr>
            </w:pPr>
          </w:p>
        </w:tc>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2"/>
        </w:trPr>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9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156845</wp:posOffset>
            </wp:positionV>
            <wp:extent cx="2348865" cy="9944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48865" cy="994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xml:space="preserve"> Receives First Patent in Japan as it Continues to Broaden its Global Intellectual Property Portfolio</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Commercial Focus Remains on U.S. Market as it Continues to Explore Certain Global Markets that Accept FDA Cleared Devices</w:t>
      </w:r>
    </w:p>
    <w:p>
      <w:pPr>
        <w:spacing w:after="0" w:line="225" w:lineRule="exact"/>
        <w:rPr>
          <w:sz w:val="20"/>
          <w:szCs w:val="20"/>
          <w:color w:val="auto"/>
        </w:rPr>
      </w:pPr>
    </w:p>
    <w:p>
      <w:pPr>
        <w:jc w:val="center"/>
        <w:ind w:left="340" w:right="60"/>
        <w:spacing w:after="0" w:line="284" w:lineRule="auto"/>
        <w:rPr>
          <w:sz w:val="20"/>
          <w:szCs w:val="20"/>
          <w:color w:val="auto"/>
        </w:rPr>
      </w:pPr>
      <w:r>
        <w:rPr>
          <w:rFonts w:ascii="Times New Roman" w:cs="Times New Roman" w:eastAsia="Times New Roman" w:hAnsi="Times New Roman"/>
          <w:sz w:val="18"/>
          <w:szCs w:val="18"/>
          <w:i w:val="1"/>
          <w:iCs w:val="1"/>
          <w:color w:val="auto"/>
        </w:rPr>
        <w:t>Protecting its Innovative Technology Remains a Priority and Momentum Increasing as Global Jurisdictions Acknowledge the Uniqueness of the LIBERTY System</w:t>
      </w:r>
    </w:p>
    <w:p>
      <w:pPr>
        <w:spacing w:after="0" w:line="164"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b w:val="1"/>
          <w:bCs w:val="1"/>
          <w:color w:val="auto"/>
        </w:rPr>
        <w:t xml:space="preserve">HINGHAM, Mass., October 1, 2025 </w:t>
      </w:r>
      <w:r>
        <w:rPr>
          <w:rFonts w:ascii="Times New Roman" w:cs="Times New Roman" w:eastAsia="Times New Roman" w:hAnsi="Times New Roman"/>
          <w:sz w:val="18"/>
          <w:szCs w:val="18"/>
          <w:color w:val="auto"/>
        </w:rPr>
        <w:t>— Microbot Medical Inc. (Nasdaq: MBOT), developer, manufacturer and distributer of the innovative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Endovascular Robotic System, today announced that the Japanese Patent Office has granted the Company its first patent in Japan, covering the core</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System technology, such as a compact robotic device for driving and manipulating movement of at least one elongate surgical tool. In addition to today’s news, the Company has also received patents in the U.S., China and Israel over the past 90 days.</w:t>
      </w:r>
    </w:p>
    <w:p>
      <w:pPr>
        <w:spacing w:after="0" w:line="203"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The Company announced marketing clearance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System by the U.S. Food and Drug Administration (FDA) on September 8, 2025, and has accelerated its commercial launch plans as it targets an estimated 2.5 million peripheral endovascular procedures performed in the U.S., annually. As the Company evaluates other future global markets that have historically accepted FDA cleared devices, the successful implementation of its global IP strategy is expected to protect and allow it to monetize its innovative technology.</w:t>
      </w:r>
    </w:p>
    <w:p>
      <w:pPr>
        <w:spacing w:after="0" w:line="20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color w:val="auto"/>
        </w:rPr>
        <w:t>“Our initial focus is on the US market, however, certain markets such as Japan, represent attractive and strategically important markets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System,” commented Harel Gadot, Chairman, CEO &amp; President. “Building on our recent FDA clearance of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we are evaluating opportunities to expand into other global markets that have traditionally taken FDA clearance into consideration to potentially expedite local approval and adoption.”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Microbot Medical</w:t>
      </w:r>
    </w:p>
    <w:p>
      <w:pPr>
        <w:spacing w:after="0" w:line="22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Microbot Medical Inc. (NASDAQ: MBOT) is a breakthrough medical device company focused on transforming endovascular procedures through advanced robotic technology. Microbot’s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is the first single-use, remotely operated robotic solution designed for precision, efficiency and provider safety. Backed by a strong intellectual property portfolio and a commitment to innovation, Microbot is driving the future of endovascular care.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Learn more at </w:t>
      </w:r>
      <w:r>
        <w:rPr>
          <w:rFonts w:ascii="Times New Roman" w:cs="Times New Roman" w:eastAsia="Times New Roman" w:hAnsi="Times New Roman"/>
          <w:sz w:val="18"/>
          <w:szCs w:val="18"/>
          <w:u w:val="single" w:color="auto"/>
          <w:color w:val="auto"/>
        </w:rPr>
        <w:t>www.microbotmedical.com</w:t>
      </w:r>
      <w:r>
        <w:rPr>
          <w:rFonts w:ascii="Times New Roman" w:cs="Times New Roman" w:eastAsia="Times New Roman" w:hAnsi="Times New Roman"/>
          <w:sz w:val="18"/>
          <w:szCs w:val="18"/>
          <w:color w:val="auto"/>
        </w:rPr>
        <w:t xml:space="preserve"> and connect on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Statements to future financial and/or operating results, future growth in research, technology, clinical development, commercialization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“contemplates,” “continues,” “could,” “forecasts,” “intends,” “may,” “might,” “possible,” “potential,” “predicts,” “projects,” “should,” “would,” “will,” “believes,” “plans,” “anticipates,” “expects,” “estimates” and similar expressions) should also be considered to be forward-looking statements, but the absence of these words does not mean that a statement is not forward-looking. Forward-looking statements involve risks and uncertainties, including, without limitation, market</w:t>
      </w:r>
    </w:p>
    <w:p>
      <w:pPr>
        <w:spacing w:after="0" w:line="3"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conditions, risks inherent in the commercialization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and in the development of future versions of or applications for the system, uncertainty in the results of regulatory pathways and regulatory approvals, uncertainty resulting from political, social and geopolitical conditions, particularly any changes in personnel or processes or procedures at the FDA and announcements of tariffs on imports into the U.S., disruptions resulting from new and ongoing hostilities between Israel and the Palestinians, Iran and other neighboring countries, and maintenance of</w:t>
      </w:r>
    </w:p>
    <w:p>
      <w:pPr>
        <w:spacing w:after="0" w:line="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intellectual property rights. Additional information on risks facing Microbot Medical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can be found under the heading “Risk Factors” in Microbot Medical’s periodic reports filed with the Securities and Exchange Commission (SEC), which are available on the SEC’s web 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Microbot Medical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disclaims any intent or obligation to update these forward-looking statements, except as required by law.</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IR@microbotmedical.com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2025-10-01T08:04:40Z</dcterms:created>
  <dcterms:modified xsi:type="dcterms:W3CDTF">2025-10-01T08:04:40Z</dcterms:modified>
</cp:coreProperties>
</file>