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333-275634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1796415</wp:posOffset>
            </wp:positionH>
            <wp:positionV relativeFrom="paragraph">
              <wp:posOffset>142875</wp:posOffset>
            </wp:positionV>
            <wp:extent cx="3549015" cy="1259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9015" cy="12598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6,103,289 Shares of Common Stock</w:t>
      </w:r>
    </w:p>
    <w:p>
      <w:pPr>
        <w:spacing w:after="0" w:line="22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offering 6,103,289 shares of our common stock, par value $0.01 per share (“common stock”) to investors at an offering price of $2.13 per share, pursuant to this prospectus supplement and the accompanying prospectus.</w:t>
      </w:r>
    </w:p>
    <w:p>
      <w:pPr>
        <w:spacing w:after="0" w:line="162" w:lineRule="exact"/>
        <w:rPr>
          <w:sz w:val="24"/>
          <w:szCs w:val="24"/>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 concurrent private placement, we are also selling to the same investors of our shares of common stock, unregistered series I preferred investment options to purchase up to 12,206,578 shares of our common stock (the “series I preferred investment options”). Each series I preferred investment option will be exercisable for one share of common stock at an exercise price of $2.13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series I preferred investment options and the shares of common stock issuable upon the exercise of such series I preferred investment options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None of the series I preferred investment options issued in the concurrent private placement are or will be listed for trading on any national securities exchange.</w:t>
      </w:r>
    </w:p>
    <w:p>
      <w:pPr>
        <w:spacing w:after="0" w:line="18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trades on The Nasdaq Capital Market under the symbol “MBOT.” The last sale price of our shares of common stock on February 7, 2025 was $2.55 per share.</w:t>
      </w:r>
    </w:p>
    <w:p>
      <w:pPr>
        <w:spacing w:after="0" w:line="162"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engaged H.C. Wainwright &amp; Co., LLC, or Wainwright or the placement agent, to act as our exclusive placement agent for this offering. The placement agent has agreed to use its “reasonable best efforts” to arrange for the sale of shares of our common stock offered by this prospectus supplement and the accompanying base prospectus, but the placement agent has no obligation to purchase or sell any of such securities or to arrange for the purchase or sale of any specific number or dollar amount of such securities. There is no required minimum number of securities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we are offering hereby.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6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13,000,005.57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 (1)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0.1491</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910,000.39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1.9809</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12,090,005.18</w:t>
            </w:r>
          </w:p>
        </w:tc>
      </w:tr>
    </w:tbl>
    <w:p>
      <w:pPr>
        <w:spacing w:after="0" w:line="198" w:lineRule="exact"/>
        <w:rPr>
          <w:sz w:val="24"/>
          <w:szCs w:val="24"/>
          <w:color w:val="auto"/>
        </w:rPr>
      </w:pPr>
    </w:p>
    <w:p>
      <w:pPr>
        <w:jc w:val="both"/>
        <w:ind w:left="340" w:hanging="332"/>
        <w:spacing w:after="0" w:line="25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placement agent a cash fee of 7.0% of the aggregate gross proceeds raised in the offering. In addition, we have agreed to pay the placement agent a management fee equal to 1.0% of the gross proceeds raised in this offering, to reimburse the placement agent for certain of its expenses and to issue warrants to purchase shares of common stock to the placement agent or its designees (the “placement agent warrants”). Neither the placement agent warrants nor the shares of our common stock issuable upon exercise of the placement agent warrants are being registered hereby. See “Plan of Distribution” beginning on page S-15 of this prospectus supplement for more information.</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proceeds from the exercise of the placement agent warrants to be issued to the placement agent in cash, if any.</w:t>
      </w:r>
    </w:p>
    <w:p>
      <w:pPr>
        <w:spacing w:after="0" w:line="225"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Delivery of the shares of common stock offered hereby is expected to be made on or about February 11, 2025, subject to satisfaction of customary closing conditions.</w:t>
      </w:r>
    </w:p>
    <w:p>
      <w:pPr>
        <w:spacing w:after="0" w:line="158"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S-8 of this prospectus supplement and the risk factors incorporated by reference into this prospectus supplement and the accompanying base prospectus.</w:t>
      </w:r>
    </w:p>
    <w:p>
      <w:pPr>
        <w:spacing w:after="0" w:line="180"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shares or determined if this prospectus supplement or the accompanying base prospectus is truthful or complete. Any representation to the contrary is a criminal offense.</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ectPr>
          <w:pgSz w:w="11900" w:h="16838" w:orient="portrait"/>
          <w:cols w:equalWidth="0" w:num="1">
            <w:col w:w="11240"/>
          </w:cols>
          <w:pgMar w:left="320" w:top="441"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February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6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920" w:type="dxa"/>
            <w:vAlign w:val="bottom"/>
            <w:tcBorders>
              <w:top w:val="single" w:sz="8" w:color="auto"/>
            </w:tcBorders>
            <w:gridSpan w:val="3"/>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5"/>
        </w:trPr>
        <w:tc>
          <w:tcPr>
            <w:tcW w:w="10600" w:type="dxa"/>
            <w:vAlign w:val="bottom"/>
            <w:tcBorders>
              <w:top w:val="single" w:sz="8" w:color="CCEEFF"/>
            </w:tcBorders>
            <w:gridSpan w:val="17"/>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40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30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SECURITIES WE ARE OFFERING</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PRIVATE PLACEMENT TRANSACTION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6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44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0" w:type="dxa"/>
            <w:vAlign w:val="bottom"/>
            <w:tcBorders>
              <w:bottom w:val="single" w:sz="8" w:color="CCEEFF"/>
            </w:tcBorders>
            <w:gridSpan w:val="16"/>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89"/>
        </w:trPr>
        <w:tc>
          <w:tcPr>
            <w:tcW w:w="210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PROSPECTUS SUMMARY</w:t>
            </w:r>
          </w:p>
        </w:tc>
        <w:tc>
          <w:tcPr>
            <w:tcW w:w="8500" w:type="dxa"/>
            <w:vAlign w:val="bottom"/>
            <w:tcBorders>
              <w:bottom w:val="single" w:sz="8" w:color="CCEEFF"/>
            </w:tcBorders>
            <w:gridSpan w:val="9"/>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31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74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202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858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registration statement on Form S-3 (File No. 333-275634) utilizing a shelf registration process relating to the securities described in this prospectus supplement was initially filed with the Securities and Exchange Commission, or the SEC, on November 17, 2023 and was declared effective on December 4, 2023.</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 this prospectus supplement include forward-looking statements within the meaning of Section 27A of the Securities Act of 1933, as amended, or the Securities Act, and Section 21E of the Securities Exchange Act of 1934, as amended, or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our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429895</wp:posOffset>
            </wp:positionV>
            <wp:extent cx="7136130" cy="6939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693928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base prospectus, including the documents incorporated by reference, which are described under “Where You Can Find Additional Information” and “Incorporation of Certain Information by Reference” in this prospectus supplement. You should also carefully consider the matters discussed in the section in this prospectus supplement entitled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“we” or “us”) is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ind w:firstLine="324"/>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in the peripheral vasculature.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Concurrent Private Placement</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a concurrent private placement, we are also issuing to the purchasers of our shares of common stock in this offering, series I preferred investment options to purchase up to 12,206,578 shares of our common stock. Each series I preferred investment option will be exercisable for one share of common stock at an exercise price of $2.13 commencing on or after the later of (i) the Authorized Share Increase Date and (ii) the Stockholder Approval Date and will expire two years from the initial exercise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ind w:right="20" w:firstLine="324"/>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887"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429895</wp:posOffset>
            </wp:positionV>
            <wp:extent cx="7136130" cy="6527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527800"/>
                    </a:xfrm>
                    <a:prstGeom prst="rect">
                      <a:avLst/>
                    </a:prstGeom>
                    <a:noFill/>
                  </pic:spPr>
                </pic:pic>
              </a:graphicData>
            </a:graphic>
          </wp:anchor>
        </w:drawing>
        <w:t>ATM Offering</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February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firstLine="324"/>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supplement, although a cease fire with Hamas was declared on January 15, 2025 and there is currently a ceasefire with Hezbollah in Lebanon.</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960" w:right="20" w:hanging="317"/>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supplement, we have determined that there have not been any materially adverse effects on our business or operations, but we continue to monitor the situation, as any collapse of the cease-fire with Hamas or Hezbollah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887"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429895</wp:posOffset>
            </wp:positionV>
            <wp:extent cx="7136130" cy="6116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116320"/>
                    </a:xfrm>
                    <a:prstGeom prst="rect">
                      <a:avLst/>
                    </a:prstGeom>
                    <a:noFill/>
                  </pic:spPr>
                </pic:pic>
              </a:graphicData>
            </a:graphic>
          </wp:anchor>
        </w:drawing>
        <w:t>Intellectual Property</w:t>
      </w:r>
    </w:p>
    <w:p>
      <w:pPr>
        <w:spacing w:after="0" w:line="233"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7"/>
          <w:szCs w:val="17"/>
          <w:color w:val="auto"/>
        </w:rPr>
        <w:t>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System’s core technology is co-owned by Microbot and The Technion Research and Development Foundation Ltd., or TRDF. The NovaCross®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16 patents issued/allowed and 59 patent applications pending worldwide. Microbot also holds 11 design patents issued/allowed and 3 design patents pending worldwide. It also has</w:t>
      </w:r>
    </w:p>
    <w:p>
      <w:pPr>
        <w:spacing w:after="0" w:line="4"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registered trademarks in Israel, Europe, UK and 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the U.S., Israel, Europe, and UK, in addition to having registered trademarks for the “One &amp; Done” wordmark in Israel, Europe, the U.S., UK, and Japan. Microbot also has a registered trademark in the U.S. for the NovaCross trademark.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288 Grove Street, Suite 388, Braintree, MA 02184.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supplement. We have included our website address in this prospectus supplement as an inactive textual reference only and not as an active hyperlink.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supplement is a part.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887" w:right="47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449"/>
        </w:trPr>
        <w:tc>
          <w:tcPr>
            <w:tcW w:w="3740" w:type="dxa"/>
            <w:vAlign w:val="bottom"/>
            <w:tcBorders>
              <w:top w:val="single" w:sz="8" w:color="auto"/>
              <w:left w:val="single" w:sz="8" w:color="auto"/>
            </w:tcBorders>
          </w:tcPr>
          <w:p>
            <w:pPr>
              <w:spacing w:after="0"/>
              <w:rPr>
                <w:sz w:val="24"/>
                <w:szCs w:val="24"/>
                <w:color w:val="auto"/>
              </w:rPr>
            </w:pPr>
          </w:p>
        </w:tc>
        <w:tc>
          <w:tcPr>
            <w:tcW w:w="7500" w:type="dxa"/>
            <w:vAlign w:val="bottom"/>
            <w:tcBorders>
              <w:top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3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 Offered in This Offering</w:t>
            </w: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6,103,289 shares of our common stock, par value $0.01 per share</w:t>
            </w:r>
          </w:p>
        </w:tc>
      </w:tr>
      <w:tr>
        <w:trPr>
          <w:trHeight w:val="410"/>
        </w:trPr>
        <w:tc>
          <w:tcPr>
            <w:tcW w:w="3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 Outstanding Before This</w:t>
            </w: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28,641,187 shares (1)</w:t>
            </w:r>
          </w:p>
        </w:tc>
      </w:tr>
      <w:tr>
        <w:trPr>
          <w:trHeight w:val="238"/>
        </w:trPr>
        <w:tc>
          <w:tcPr>
            <w:tcW w:w="3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7500" w:type="dxa"/>
            <w:vAlign w:val="bottom"/>
            <w:tcBorders>
              <w:right w:val="single" w:sz="8" w:color="auto"/>
            </w:tcBorders>
          </w:tcPr>
          <w:p>
            <w:pPr>
              <w:spacing w:after="0"/>
              <w:rPr>
                <w:sz w:val="20"/>
                <w:szCs w:val="20"/>
                <w:color w:val="auto"/>
              </w:rPr>
            </w:pPr>
          </w:p>
        </w:tc>
      </w:tr>
      <w:tr>
        <w:trPr>
          <w:trHeight w:val="410"/>
        </w:trPr>
        <w:tc>
          <w:tcPr>
            <w:tcW w:w="3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 to be Outstanding After This</w:t>
            </w: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34,744,476 shares (1)</w:t>
            </w:r>
          </w:p>
        </w:tc>
      </w:tr>
      <w:tr>
        <w:trPr>
          <w:trHeight w:val="216"/>
        </w:trPr>
        <w:tc>
          <w:tcPr>
            <w:tcW w:w="3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7500" w:type="dxa"/>
            <w:vAlign w:val="bottom"/>
            <w:tcBorders>
              <w:right w:val="single" w:sz="8" w:color="auto"/>
            </w:tcBorders>
          </w:tcPr>
          <w:p>
            <w:pPr>
              <w:spacing w:after="0"/>
              <w:rPr>
                <w:sz w:val="18"/>
                <w:szCs w:val="18"/>
                <w:color w:val="auto"/>
              </w:rPr>
            </w:pPr>
          </w:p>
        </w:tc>
      </w:tr>
      <w:tr>
        <w:trPr>
          <w:trHeight w:val="220"/>
        </w:trPr>
        <w:tc>
          <w:tcPr>
            <w:tcW w:w="3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We estimate the net proceeds from this offering will be approximately $11.8 million after deducting</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estimated offering expenses payable by us. We currently intend to use the net proceeds from this</w:t>
            </w:r>
          </w:p>
        </w:tc>
      </w:tr>
      <w:tr>
        <w:trPr>
          <w:trHeight w:val="220"/>
        </w:trPr>
        <w:tc>
          <w:tcPr>
            <w:tcW w:w="3740" w:type="dxa"/>
            <w:vAlign w:val="bottom"/>
            <w:tcBorders>
              <w:left w:val="single" w:sz="8" w:color="auto"/>
            </w:tcBorders>
          </w:tcPr>
          <w:p>
            <w:pPr>
              <w:spacing w:after="0"/>
              <w:rPr>
                <w:sz w:val="19"/>
                <w:szCs w:val="19"/>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offering for the continued development, commercialization and regulatory activities for the</w:t>
            </w:r>
          </w:p>
        </w:tc>
      </w:tr>
      <w:tr>
        <w:trPr>
          <w:trHeight w:val="253"/>
        </w:trPr>
        <w:tc>
          <w:tcPr>
            <w:tcW w:w="3740" w:type="dxa"/>
            <w:vAlign w:val="bottom"/>
            <w:tcBorders>
              <w:left w:val="single" w:sz="8" w:color="auto"/>
            </w:tcBorders>
          </w:tcPr>
          <w:p>
            <w:pPr>
              <w:spacing w:after="0"/>
              <w:rPr>
                <w:sz w:val="21"/>
                <w:szCs w:val="21"/>
                <w:color w:val="auto"/>
              </w:rPr>
            </w:pPr>
          </w:p>
        </w:tc>
        <w:tc>
          <w:tcPr>
            <w:tcW w:w="7500" w:type="dxa"/>
            <w:vAlign w:val="bottom"/>
            <w:tcBorders>
              <w:right w:val="single" w:sz="8" w:color="auto"/>
            </w:tcBorders>
          </w:tcPr>
          <w:p>
            <w:pPr>
              <w:ind w:left="140"/>
              <w:spacing w:after="0" w:line="252" w:lineRule="exact"/>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our existing intellectual property portfolio, and for working capital and other general corporate</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purposes. As a result, our management will retain broad discretion in the allocation and use of the</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proceeds of this offering, and investors will be relying on the judgment of our management with</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regard to the use of these net proceeds. Pending application of the net proceeds for the purposes as</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described above, we expect to invest the net proceeds in short-term, interest-bearing securities,</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investment grade securities, certificates of deposit or direct or guaranteed obligations of the U.S.</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government. See “Use of Proceeds” on page S-10.</w:t>
            </w:r>
          </w:p>
        </w:tc>
      </w:tr>
      <w:tr>
        <w:trPr>
          <w:trHeight w:val="414"/>
        </w:trPr>
        <w:tc>
          <w:tcPr>
            <w:tcW w:w="3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Before you decide to invest in our</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common stock, you should carefully read this prospectus supplement in its entirety and carefully</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consider the risks and uncertainties described in “Risk Factors” beginning on page S-8 of this</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prospectus supplement, beginning on page 6 of the accompanying base prospectus and in our</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31, 2023, as such risk factors may</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be amended, updated or modified periodically in our reports filed with the SEC, and the financial</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data and related notes and the reports incorporated by reference herein and therein.</w:t>
            </w:r>
          </w:p>
        </w:tc>
      </w:tr>
      <w:tr>
        <w:trPr>
          <w:trHeight w:val="414"/>
        </w:trPr>
        <w:tc>
          <w:tcPr>
            <w:tcW w:w="3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 a concurrent private placement, we are also selling to the same investors of our shares of</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common stock, unregistered series I preferred investment options to purchase up to 12,206,578</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shares of our common stock. Each series I preferred investment option will be exercisable for one</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share of common stock at an exercise price of $2.13 commencing on and after the later of (i) the</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Authorized Share Increase Date and (ii) the Stockholder Approval Date, and will expire two years</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from the initial exercise date. The series I preferred investment options and the shares of common</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stock issuable upon the exercise of such securities are not being registered under the Securities Act</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of 1933, as amended (the “Securities Act”), are not being offered pursuant to this prospectus</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supplement and the accompanying prospectus and are being offered pursuant to the exemption</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provided in Section 4(a)(2) under the Securities Act and Rule 506(b) promulgated thereunder. See</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section titled “Private Placement Transaction.”</w:t>
            </w:r>
          </w:p>
        </w:tc>
      </w:tr>
      <w:tr>
        <w:trPr>
          <w:trHeight w:val="226"/>
        </w:trPr>
        <w:tc>
          <w:tcPr>
            <w:tcW w:w="3740" w:type="dxa"/>
            <w:vAlign w:val="bottom"/>
            <w:tcBorders>
              <w:left w:val="single" w:sz="8" w:color="auto"/>
              <w:bottom w:val="single" w:sz="8" w:color="auto"/>
            </w:tcBorders>
          </w:tcPr>
          <w:p>
            <w:pPr>
              <w:spacing w:after="0"/>
              <w:rPr>
                <w:sz w:val="19"/>
                <w:szCs w:val="19"/>
                <w:color w:val="auto"/>
              </w:rPr>
            </w:pPr>
          </w:p>
        </w:tc>
        <w:tc>
          <w:tcPr>
            <w:tcW w:w="7500" w:type="dxa"/>
            <w:vAlign w:val="bottom"/>
            <w:tcBorders>
              <w:bottom w:val="single" w:sz="8" w:color="auto"/>
              <w:right w:val="single" w:sz="8" w:color="auto"/>
            </w:tcBorders>
          </w:tcPr>
          <w:p>
            <w:pPr>
              <w:spacing w:after="0"/>
              <w:rPr>
                <w:sz w:val="19"/>
                <w:szCs w:val="19"/>
                <w:color w:val="auto"/>
              </w:rPr>
            </w:pPr>
          </w:p>
        </w:tc>
      </w:tr>
      <w:tr>
        <w:trPr>
          <w:trHeight w:val="429"/>
        </w:trPr>
        <w:tc>
          <w:tcPr>
            <w:tcW w:w="37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240"/>
          </w:cols>
          <w:pgMar w:left="320" w:top="656" w:right="339" w:bottom="1440" w:gutter="0" w:footer="0" w:header="0"/>
        </w:sectPr>
      </w:pPr>
    </w:p>
    <w:bookmarkStart w:id="9" w:name="page10"/>
    <w:bookmarkEnd w:id="9"/>
    <w:p>
      <w:pPr>
        <w:ind w:left="5"/>
        <w:spacing w:after="0"/>
        <w:tabs>
          <w:tab w:leader="none" w:pos="37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429895</wp:posOffset>
            </wp:positionV>
            <wp:extent cx="7136130" cy="8808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8808085"/>
                    </a:xfrm>
                    <a:prstGeom prst="rect">
                      <a:avLst/>
                    </a:prstGeom>
                    <a:noFill/>
                  </pic:spPr>
                </pic:pic>
              </a:graphicData>
            </a:graphic>
          </wp:anchor>
        </w:drawing>
        <w:t>Nasdaq Capital Market Symbol</w:t>
      </w:r>
      <w:r>
        <w:rPr>
          <w:sz w:val="20"/>
          <w:szCs w:val="20"/>
          <w:color w:val="auto"/>
        </w:rPr>
        <w:tab/>
      </w:r>
      <w:r>
        <w:rPr>
          <w:rFonts w:ascii="Times New Roman" w:cs="Times New Roman" w:eastAsia="Times New Roman" w:hAnsi="Times New Roman"/>
          <w:sz w:val="18"/>
          <w:szCs w:val="18"/>
          <w:b w:val="1"/>
          <w:bCs w:val="1"/>
          <w:color w:val="auto"/>
        </w:rPr>
        <w:t>“MBOT”.</w:t>
      </w:r>
    </w:p>
    <w:p>
      <w:pPr>
        <w:spacing w:after="0" w:line="229" w:lineRule="exact"/>
        <w:rPr>
          <w:sz w:val="20"/>
          <w:szCs w:val="20"/>
          <w:color w:val="auto"/>
        </w:rPr>
      </w:pPr>
    </w:p>
    <w:p>
      <w:pPr>
        <w:ind w:left="5" w:right="20" w:hanging="5"/>
        <w:spacing w:after="0" w:line="282" w:lineRule="auto"/>
        <w:tabs>
          <w:tab w:leader="none" w:pos="2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to be outstanding immediately after this offering, is based on 28,641,187 shares of our common stock outstanding as of February 10, 2024 and excludes the following securities:</w:t>
      </w:r>
    </w:p>
    <w:p>
      <w:pPr>
        <w:spacing w:after="0" w:line="161" w:lineRule="exact"/>
        <w:rPr>
          <w:rFonts w:ascii="Times New Roman" w:cs="Times New Roman" w:eastAsia="Times New Roman" w:hAnsi="Times New Roman"/>
          <w:sz w:val="18"/>
          <w:szCs w:val="18"/>
          <w:color w:val="auto"/>
        </w:rPr>
      </w:pPr>
    </w:p>
    <w:p>
      <w:pPr>
        <w:ind w:left="645" w:right="20" w:hanging="321"/>
        <w:spacing w:after="0" w:line="28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45" w:right="20" w:hanging="321"/>
        <w:spacing w:after="0" w:line="28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45" w:right="20" w:hanging="321"/>
        <w:spacing w:after="0" w:line="28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45" w:right="20" w:hanging="321"/>
        <w:spacing w:after="0" w:line="28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45" w:right="20" w:hanging="321"/>
        <w:spacing w:after="0" w:line="28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45" w:right="20" w:hanging="321"/>
        <w:spacing w:after="0" w:line="28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645" w:right="20" w:hanging="321"/>
        <w:spacing w:after="0" w:line="28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45" w:right="20" w:hanging="321"/>
        <w:spacing w:after="0" w:line="28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jc w:val="both"/>
        <w:ind w:left="645" w:hanging="321"/>
        <w:spacing w:after="0" w:line="266"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upon the exercise of outstanding series I preferred investment options issued in the concurrent private placement, expiring two years after the later of (i) the Authorized Share Increase Date and (ii) the Stockholder Approval Date, at an exercise price per share of $2.13;</w:t>
      </w:r>
    </w:p>
    <w:p>
      <w:pPr>
        <w:spacing w:after="0" w:line="175" w:lineRule="exact"/>
        <w:rPr>
          <w:rFonts w:ascii="Times New Roman" w:cs="Times New Roman" w:eastAsia="Times New Roman" w:hAnsi="Times New Roman"/>
          <w:sz w:val="18"/>
          <w:szCs w:val="18"/>
          <w:color w:val="auto"/>
        </w:rPr>
      </w:pPr>
    </w:p>
    <w:p>
      <w:pPr>
        <w:ind w:left="645" w:right="20" w:hanging="321"/>
        <w:spacing w:after="0" w:line="28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45" w:right="20" w:hanging="321"/>
        <w:spacing w:after="0" w:line="28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45" w:right="20" w:hanging="321"/>
        <w:spacing w:after="0" w:line="28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45" w:right="20" w:hanging="321"/>
        <w:spacing w:after="0" w:line="28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w:t>
      </w:r>
    </w:p>
    <w:p>
      <w:pPr>
        <w:spacing w:after="0" w:line="161" w:lineRule="exact"/>
        <w:rPr>
          <w:rFonts w:ascii="Times New Roman" w:cs="Times New Roman" w:eastAsia="Times New Roman" w:hAnsi="Times New Roman"/>
          <w:sz w:val="18"/>
          <w:szCs w:val="18"/>
          <w:color w:val="auto"/>
        </w:rPr>
      </w:pPr>
    </w:p>
    <w:p>
      <w:pPr>
        <w:ind w:left="645" w:right="20" w:hanging="321"/>
        <w:spacing w:after="0" w:line="282"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of $2.8375;</w:t>
      </w:r>
    </w:p>
    <w:p>
      <w:pPr>
        <w:spacing w:after="0" w:line="161" w:lineRule="exact"/>
        <w:rPr>
          <w:rFonts w:ascii="Times New Roman" w:cs="Times New Roman" w:eastAsia="Times New Roman" w:hAnsi="Times New Roman"/>
          <w:sz w:val="18"/>
          <w:szCs w:val="18"/>
          <w:color w:val="auto"/>
        </w:rPr>
      </w:pPr>
    </w:p>
    <w:p>
      <w:pPr>
        <w:jc w:val="both"/>
        <w:ind w:left="645" w:hanging="321"/>
        <w:spacing w:after="0" w:line="266"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upon the exercise of placement agent preferred investment options issued in this offering, expiring two years after the later of (i) the Authorized Share Increase Date and (ii) the Stockholder Approval Date, at an exercise price of $2.6625;</w:t>
      </w:r>
    </w:p>
    <w:p>
      <w:pPr>
        <w:spacing w:after="0" w:line="175" w:lineRule="exact"/>
        <w:rPr>
          <w:rFonts w:ascii="Times New Roman" w:cs="Times New Roman" w:eastAsia="Times New Roman" w:hAnsi="Times New Roman"/>
          <w:sz w:val="18"/>
          <w:szCs w:val="18"/>
          <w:color w:val="auto"/>
        </w:rPr>
      </w:pPr>
    </w:p>
    <w:p>
      <w:pPr>
        <w:jc w:val="both"/>
        <w:ind w:left="645" w:right="20" w:hanging="321"/>
        <w:spacing w:after="0" w:line="266" w:lineRule="auto"/>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3,002,145 shares of our common stock issuable upon the exercise of outstanding stock options granted to employees, directors and consultants, with exercise prices ranging from approximately $0.005 to $15.75 and having a weighted-average exercise price of $4.19 per share;</w:t>
      </w:r>
    </w:p>
    <w:p>
      <w:pPr>
        <w:spacing w:after="0" w:line="175" w:lineRule="exact"/>
        <w:rPr>
          <w:rFonts w:ascii="Times New Roman" w:cs="Times New Roman" w:eastAsia="Times New Roman" w:hAnsi="Times New Roman"/>
          <w:sz w:val="18"/>
          <w:szCs w:val="18"/>
          <w:color w:val="auto"/>
        </w:rPr>
      </w:pPr>
    </w:p>
    <w:p>
      <w:pPr>
        <w:ind w:left="645" w:hanging="321"/>
        <w:spacing w:after="0"/>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45" w:hanging="321"/>
        <w:spacing w:after="0"/>
        <w:tabs>
          <w:tab w:leader="none" w:pos="6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147,217 shares of our common stock reserved for future grant under our 2020 Omnibus Performance Award Plan.</w:t>
      </w:r>
    </w:p>
    <w:p>
      <w:pPr>
        <w:spacing w:after="0" w:line="225" w:lineRule="exact"/>
        <w:rPr>
          <w:sz w:val="20"/>
          <w:szCs w:val="20"/>
          <w:color w:val="auto"/>
        </w:rPr>
      </w:pPr>
    </w:p>
    <w:p>
      <w:pPr>
        <w:ind w:left="5"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supplement assumes no exercise of the placement agent warrants and any securities issued in the concurrent private placement.</w:t>
      </w:r>
    </w:p>
    <w:p>
      <w:pPr>
        <w:spacing w:after="0" w:line="200" w:lineRule="exact"/>
        <w:rPr>
          <w:sz w:val="20"/>
          <w:szCs w:val="20"/>
          <w:color w:val="auto"/>
        </w:rPr>
      </w:pPr>
    </w:p>
    <w:p>
      <w:pPr>
        <w:spacing w:after="0" w:line="20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5"/>
          </w:cols>
          <w:pgMar w:left="475" w:top="887" w:right="4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 and in other documents incorporated by reference to our filings with the SEC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securities sold in this offering, you will incur immediate dilution.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higher than the pro forma as adjusted net tangible book value per share of our common stock after giving effect to this offering, the January 2025 Offerings and the ATM sales subsequent to September 30, 2024, you will suffer dilution with respect to the pro forma as adjusted net tangible book value of the shares of common stock you purchase in this offering. Based on a public offering price of $2.13 per share and our pro forma as adjusted net tangible book value as of September 30, 2024, if you purchase securities in this offering, you will suffer immediate dilution of $1.14 per share with respect to the net tangible book value of the common stock. You may experience additional dilution upon exercise of the outstanding stock options and other equity awards that may be granted under our equity incentive plans, exercise of outstanding warrants and when we otherwise issue additional shares of our common stock. For more information, see “Dilution.”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 including in connection with pending litigation.</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sales of our securities or other dilution of our equity, which may adversely affect the market price of our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generally not restricted from issuing additional common stock, including any securities that are convertible into or exchangeable for, or that represent the right to receive, common stock; however, we agreed as part of this offering to not issue any common stock or common stock equivalents, or file any registration statement or amendments or supplements thereto, for a period of thirty trading days from the closing of this offering, subject to customary exceptions. We further agreed not to issue any security that has a variable rate conversion or exercise component, for twelve months from the closing of this offering.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 </w:t>
      </w:r>
      <w:r>
        <w:rPr>
          <w:rFonts w:ascii="Times New Roman" w:cs="Times New Roman" w:eastAsia="Times New Roman" w:hAnsi="Times New Roman"/>
          <w:sz w:val="18"/>
          <w:szCs w:val="18"/>
          <w:i w:val="1"/>
          <w:iCs w:val="1"/>
          <w:color w:val="auto"/>
        </w:rPr>
        <w:t>if</w:t>
      </w:r>
      <w:r>
        <w:rPr>
          <w:rFonts w:ascii="Times New Roman" w:cs="Times New Roman" w:eastAsia="Times New Roman" w:hAnsi="Times New Roman"/>
          <w:sz w:val="18"/>
          <w:szCs w:val="18"/>
          <w:b w:val="1"/>
          <w:bCs w:val="1"/>
          <w:i w:val="1"/>
          <w:iCs w:val="1"/>
          <w:color w:val="auto"/>
        </w:rPr>
        <w:t xml:space="preserve"> this offering is successful, we will need to raise additional capital in the future to remain a going concern, which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have had significant recurring losses from operations and we do not generate any cash from operations and may need to raise additional funds in order to reach profitability. We expect, to the extent we need to raise additional capital, to continue to fund our operations in the future primarily through equity and debt financings, grants from the </w:t>
      </w:r>
      <w:r>
        <w:rPr>
          <w:rFonts w:ascii="Times New Roman" w:cs="Times New Roman" w:eastAsia="Times New Roman" w:hAnsi="Times New Roman"/>
          <w:sz w:val="18"/>
          <w:szCs w:val="18"/>
          <w:i w:val="1"/>
          <w:iCs w:val="1"/>
          <w:color w:val="auto"/>
        </w:rPr>
        <w:t>Israel</w:t>
      </w:r>
      <w:r>
        <w:rPr>
          <w:rFonts w:ascii="Times New Roman" w:cs="Times New Roman" w:eastAsia="Times New Roman" w:hAnsi="Times New Roman"/>
          <w:sz w:val="18"/>
          <w:szCs w:val="18"/>
          <w:color w:val="auto"/>
        </w:rPr>
        <w:t xml:space="preserve"> Innovation Authority and other sources. If additional capital is not available to us when needed or on acceptable terms, we may not be able to continue to operate our business pursuant to our business plan or we may have to discontinue our operations entirely, although as of the date of this prospectus supplement and taking into account the sale of the securities offered by us in this offering, we have sufficient funds for at least twelve months. We will receive net proceeds of approximately $11.8 million from the sale of the securities offered by us in this offering, after deducting the placement agent fees and estimated offering expenses payable by us and excluding any proceeds we may receive upon exercise of the securities issued in the concurrent private placement. We cannot provide assurances that our plans will not change or that changed circumstances will not result in the depletion of our capital resources more rapidly than we currently anticipate. Moreover,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plan to invest all available funds, including the proceeds from this offering, and future earnings, if any, in the development and growth of our business. We currently do not anticipate paying any cash dividends on our common stock in the foreseeable future. As a result, a rise in the market price of our common stock, which is uncertain and unpredictable, will be your sole source of potential gain in the foreseeable future and you should not rely on an investment in our common stock for dividend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trading price of our common stock, regardless of our actual operating performance. In addition to the factors discussed in this “Risk Factors” section and elsewhere in this prospectus supplement, these factors include:</w:t>
      </w:r>
    </w:p>
    <w:p>
      <w:pPr>
        <w:spacing w:after="0" w:line="183"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operations and product development efforts;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working capital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persons whose sales or lack of sales could result in positive or negative pricing pressure on the market price for our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and decline in demand for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our industry or our prospects;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markets in general and our share price in particular have recently experienced extreme price and volume fluctuations that have often been unrelated or disproportionate to the operating performance of those companies and our company. For example, from September 23, 2024 to February 7, 2025, the closing price of our common stock on Nasdaq ranged from as low as $0.85 to as high as $2.84. These broad market fluctuations may adversely affect the trading price of our common stock. Additionally, these and other external factors have caused and may continue to cause the market price and demand for our common stock to fluctuate, which may limit or prevent investors from readily selling their common stock and may otherwise negatively affect the liquidity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selling the securities offered in this prospectus on a “best efforts” basis and may not be able to sell any of the securities offered herein.</w:t>
      </w:r>
    </w:p>
    <w:p>
      <w:pPr>
        <w:sectPr>
          <w:pgSz w:w="11900" w:h="16838" w:orient="portrait"/>
          <w:cols w:equalWidth="0" w:num="1">
            <w:col w:w="11240"/>
          </w:cols>
          <w:pgMar w:left="320" w:top="657" w:right="339" w:bottom="0" w:gutter="0" w:footer="0" w:header="0"/>
        </w:sectPr>
      </w:pPr>
    </w:p>
    <w:bookmarkStart w:id="12" w:name="page13"/>
    <w:bookmarkEnd w:id="1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engaged Wainwright to act as placement agent in connection with this offering. While Wainwright will use its reasonable best efforts to arrange for the sale of the securities, they are under no obligation to purchase any of the securities. As a result, there are no firm commitments to purchase any of the securities in this offering. Consequently, there is no guarantee that we will be capable of selling all, or any, of the securities being offered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estimate the net proceeds to us from the sale of our common stock in this offering will be approximately $11.8 million after deducting the placement agent fees and estimated offering expenses payable by us.</w:t>
      </w:r>
    </w:p>
    <w:p>
      <w:pPr>
        <w:spacing w:after="0" w:line="16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the continued development, commercialization and regulatory activities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invest in our securities, you will experience immediate and substantial dilution to the extent of the difference between the amount per share paid in this offering and the net tangible book value per share of our common stock immediately after the offering.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2024 was approximately $3.81 million, or $0.23 per share, based on 16,651,433 shares of our common stock outstanding at September 30, 2024.</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 forma net tangible book value as of September 30, 2024, was approximately $22.73 million, or approximately $0.79 per share, on a pro forma basis to give effect to (i) the issuance and sale of 3,590,686 shares of common stock pursuant to our ATM at an average price of $1.138 per share subsequent to September 30, 2024, after deducting sales agent commissions, (ii) the registered direct offering of 4,000,001 shares of common stock at the offering price of $1.75 per share that closed on January 7, 2025, (iii) the registered direct offering of 3,788,550 shares of common stock at the offering price of $2.10 per share that closed on January 10, 2025 and (iv) the exercise of 610,517 of our series E preferred investment options at an aggregate exercise price of approximately $916,000.</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giving effect to the issuance and sale in this offering of 6,103,289 shares of common stock at the offering price of $2.13 per share, after deducting the estimated placement agent’s fees and estimated offering expenses payable by us, our pro forma as adjusted net tangible book value on September 30, 2024, would have been approximately $34.54 million or $0.99 per share. This represents an immediate increase in the net tangible book value of $0.20 per share attributable to this offering and an immediate dilution of $1.14 per share to the new investors in this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immediate dilution to the new investors:</w:t>
            </w:r>
          </w:p>
        </w:tc>
        <w:tc>
          <w:tcPr>
            <w:tcW w:w="1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7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0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on September 30, 2024</w:t>
            </w:r>
          </w:p>
        </w:tc>
        <w:tc>
          <w:tcPr>
            <w:tcW w:w="10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0.23</w:t>
            </w:r>
          </w:p>
        </w:tc>
        <w:tc>
          <w:tcPr>
            <w:tcW w:w="10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on September 30, 2024</w:t>
            </w:r>
          </w:p>
        </w:tc>
        <w:tc>
          <w:tcPr>
            <w:tcW w:w="10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0.79</w:t>
            </w:r>
          </w:p>
        </w:tc>
        <w:tc>
          <w:tcPr>
            <w:tcW w:w="10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this offering</w:t>
            </w:r>
          </w:p>
        </w:tc>
        <w:tc>
          <w:tcPr>
            <w:tcW w:w="1060" w:type="dxa"/>
            <w:vAlign w:val="bottom"/>
          </w:tcPr>
          <w:p>
            <w:pPr>
              <w:spacing w:after="0"/>
              <w:rPr>
                <w:sz w:val="18"/>
                <w:szCs w:val="18"/>
                <w:color w:val="auto"/>
              </w:rPr>
            </w:pPr>
          </w:p>
        </w:tc>
        <w:tc>
          <w:tcPr>
            <w:tcW w:w="20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0.20</w:t>
            </w:r>
          </w:p>
        </w:tc>
        <w:tc>
          <w:tcPr>
            <w:tcW w:w="1060" w:type="dxa"/>
            <w:vAlign w:val="bottom"/>
          </w:tcPr>
          <w:p>
            <w:pPr>
              <w:spacing w:after="0"/>
              <w:rPr>
                <w:sz w:val="18"/>
                <w:szCs w:val="18"/>
                <w:color w:val="auto"/>
              </w:rPr>
            </w:pPr>
          </w:p>
        </w:tc>
      </w:tr>
      <w:tr>
        <w:trPr>
          <w:trHeight w:val="198"/>
        </w:trPr>
        <w:tc>
          <w:tcPr>
            <w:tcW w:w="7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per share as of September 30, 2024, after giving</w:t>
            </w:r>
          </w:p>
        </w:tc>
        <w:tc>
          <w:tcPr>
            <w:tcW w:w="10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4"/>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to this offering</w:t>
            </w:r>
          </w:p>
        </w:tc>
        <w:tc>
          <w:tcPr>
            <w:tcW w:w="10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0.99</w:t>
            </w: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060" w:type="dxa"/>
            <w:vAlign w:val="bottom"/>
          </w:tcPr>
          <w:p>
            <w:pPr>
              <w:spacing w:after="0"/>
              <w:rPr>
                <w:sz w:val="20"/>
                <w:szCs w:val="20"/>
                <w:color w:val="auto"/>
              </w:rPr>
            </w:pPr>
          </w:p>
        </w:tc>
        <w:tc>
          <w:tcPr>
            <w:tcW w:w="2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r>
    </w:tbl>
    <w:p>
      <w:pPr>
        <w:spacing w:after="0" w:line="1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foregoing discussion and table do not take into account further dilution to new investors that could occur upon the exercise of outstanding options or warrants.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immediately after this offering, is based on 16,651,433, 28,641,187 and 34,744,476 actual, pro forma and pro forma as adjusted shares of our common stock outstanding as of September 30, 2024, respectively, and excludes the following securities:</w:t>
      </w:r>
    </w:p>
    <w:p>
      <w:pPr>
        <w:spacing w:after="0" w:line="162"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upon the exercise of outstanding series I preferred investment options issued in the concurrent private placement, expiring two years after the later of (i) the Authorized Share Increase Date and (ii) the Stockholder Approval Date, at an exercise price per share of $2.13;</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of $2.8375;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upon the exercise of placement agent preferred investment options issued in this offering, expiring two years after the later of (i) the Authorized Share Increase Date and (ii) the Stockholder Approval Date, at an exercise price of $2.6625;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3,002,145 shares of our common stock issuable upon the exercise of outstanding stock options granted to employees, directors and consultants, with exercise prices ranging from approximately $0.005 to $15.75 and having a weighted-average exercise price of $4.19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147,217 shares of our common stock reserved for future grant under our 2020 Omnibus Performance Award Plan.</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supplement assumes no exercise of the placement agent warrants and any securities issued in the concurrent private placement.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00" w:lineRule="exact"/>
        <w:rPr>
          <w:sz w:val="20"/>
          <w:szCs w:val="20"/>
          <w:color w:val="auto"/>
        </w:rPr>
      </w:pPr>
    </w:p>
    <w:p>
      <w:pPr>
        <w:spacing w:after="0" w:line="24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offering shares of common stock. The following description of our shares of common stock summarizes the material terms and provisions thereof, including the material terms of the shares of common stock we are offering under this prospectus supplement and the accompanying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the rights associated with the common stock, see “Description of Common Stock” in the accompanying prospectus. Our common stock is listed on The Nasdaq Capital Market under the symbol “MBOT.” Our transfer agent is Computershare Trust Company, N.A.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 concurrent private placement, we are also selling to the same investors of our shares of common stock, unregistered series I preferred investment options to purchase up to 12,206,578 shares of our common stock (the “series I preferred investment options”). Each series I preferred investment option will be exercisable for one share of common stock at an exercise price of $2.13 commencing on the later of (i) the Authorized Share Increase Date and (ii) the Stockholder Approval Date and will expire two years from the initial exercise date.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holder of preferred investment options will not have the right to exercise any portion of its preferred investment options if the holder, together with its affiliates, would beneficially own in excess of 4.99% of the number of shares of common stock outstanding immediately after giving effect to such exercise; provided, however, that upon notice to the Company, the holder may increase or decrease such beneficial ownership limitation, provided that in no event shall such beneficial ownership limitation exceed 9.99% and any increase in the beneficial ownership limitation will not be effective until 61 days following notice of such increase from the holder to us. In addition, the holders of the preferred investment options will have the right to participate in any rights offering or distribution of assets together with the holders of our shares of common stock on an as-exercised basis.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preferred investment options and the shares of common stock issuable upon the exercise of such securities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Accordingly, purchasers of the preferred investment options, may only sell shares of our common stock issued upon exercise of such securities being sold to them in the concurrent private placement, pursuant to an effective registration statement under the Securities Act covering the resale of those shares, an exemption under Rule 144 under the Securities Act or another applicable exemption under the Securities Act. None of the series I preferred investment options issued in the concurrent private placement are or will be listed for trading on any national securities exchange.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the shares of common stock issuable upon the exercise of the preferred investment options will be subject to adjustment for stock splits, reverse splits, and similar capital transactions, as described in the preferred investment options. The preferred investment options will be exercisable on a “cashless” basis in certain circumstances.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if a fundamental transaction occurs, then the successor entity will succeed to, and be substituted for us, and may exercise every right and power that we may exercise and will assume all of our obligations under the preferred investment options with the same effect as if such successor entity had been named in the preferred investment option itself. If holders of our shares of common stock are given a choice as to the securities, cash or property to be received in a fundamental transaction, then the holder shall be given the same choice as to the consideration it receives upon any exercise of the preferred investment option following such fundamental transaction. As more fully described in the form of preferred investment option, in the event of certain fundamental transactions, the holders of the preferred investment options will be entitled to receive consideration in an amount equal to the Black Scholes value of the preferred investment option on the date of consummation of the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an engagement letter agreement dated May 29, 2024, as amended on January 3, 2025, we have engaged H.C. Wainwright &amp; Co., LLC, referred to herein as Wainwright or the placement agent, to act as our exclusive placement agent in connection with this offering. Under the terms of the engagement letter, Wainwright is not purchasing the securities offered by us in this offering, and is not required to sell any specific number or dollar amount of securities, but will assist us in this offering on a reasonable best efforts basis. The terms of this offering were subject to market conditions and negotiations between us, Wainwright and prospective investors. Wainwright will have no authority to bind us by virtue of the engagement letter. Wainwright may engage sub-agents or selected dealers to assist with this offering. We may not sell the entire amount of our shares of Common Stock offered pursuant to this prospectus supplement.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placement agent proposes to arrange for the sale of the securities we are offering pursuant to this prospectus supplement and accompanying prospectus to one or more institutional or accredited investors through a securities purchase agreement directly between the purchaser and us. We will only sell to such investors who have entered into the securities purchase agreement with us.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Delivery of the securities offered hereby is expected to take place on or about February 11, 2025, subject to satisfaction of customary closing conditions.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 associated person of H.C. Wainwright &amp; Co., LLC has agreed to purchase in this offering, on the same terms and conditions, an aggregate of 938,968 shares of common stock (and 1,877,936 warrants in the concurrent private placement) for a total purchase price of $2,000,001.84.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to pay the placement agent a cash fee of 7.0% of the aggregate gross proceeds raised in the offering, as well as a management fee equal to 1.0% of the gross proceeds raised in this offering. The following table shows the per share and total cash fees we will pay to the placement agent in connection with the sale of our securities offered pursuant to this prospectus supplement and the accompanying prospectus, assuming the purchase of all of the securities offered hereby.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6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13,000,005.57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Placement agent’s fees (1)</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0.1491</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910,000.39</w:t>
            </w:r>
          </w:p>
        </w:tc>
        <w:tc>
          <w:tcPr>
            <w:tcW w:w="10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12,090,005.18</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agreed to reimburse the placement agent for its non-accountable expenses in the amount of $25,000, for its fees and expenses of legal counsel in the amount of up to $35,000, and for its clearing expenses in the amount of $15,950. We estimate the total offering expenses of this offering that will be payable by us, excluding the placement agent’s fees and expenses, will be approximately $70,000.</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will issue to the placement agent, or its designees, warrants to purchase up to 305,164 shares of Common Stock. The placement agent warrants will be exercisable on or after the later of (i) the Authorized Share Increase Date and (ii) the Stockholder Approval Date, will have an exercise price equal to $2.6625 and will have the same term as the preferred investment options offered to investors in this offering.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purchase agreement that we entered into with the investor prohibits, with certain limited exceptions, us: (i) for sixty days following the closing date from issuing any shares of Common Stock or Common Stock Equivalents (as defined in the securities purchase agreement) or filing any registration statement (other than a Form S-8 or amendment or supplement to any previously filed registration statement), and (ii) for one year following the closing date from issuing any shares of Common Stock or Common Stock Equivalents in a Variable Rate Transaction (as defined in the securities purchase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granted Wainwright, subject to certain exceptions, a right of first refusal for a period of twelve (12) months following the consummation of this offering to act as our exclusive underwriter or placement agent for any further capital raising transactions undertaken by us or any of our subsidiaries.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that any investor whom the placement agent had contacted during the term of its engagement or introduced to the Company during the term of our engagement of the placement agent provides any capital to us, in a public or private offering or other financing or capital-raising transaction of any kind, within the six (6) months following the expiration of termination of the engagement of the placement agent, we shall pay the placement agent the cash and warrant compensation provided above, calculated in the same manner.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and specified other persons against certain liabilities relating to or arising out of the placement agent’s activities under its engagement letter, including liabilities under the Securities Act, and to contribute to payments that the placement agent may be required to make in respect of such liabilities.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the placement agent or its affiliates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the placement agent for any further services. The placement agent acted as our exclusive placement agent in connection with registered direct offerings we consummated in June 2024 and January 2025, as well as an “at-the-market” equity offering we initiated in June 2021, and received compensation in connection with each such offering. In addition, the placement agent is entitled to compensation in connection with the exercise of certain warrants for cash issued by us in the concurrent private placement consummated by us in June 2024. Except as disclosed in this prospectus supplement, we have no present arrangements with the placement agent for any further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shares of Common Stock trade on the Nasdaq Capital Market under the ticker symbol “MBOT.”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supplement by us will be passed upon for us by Mintz, Levin, Cohn, Ferris, Glovsky and Popeo, P.C., Boston, Massachusetts. Ellenoff Grossman &amp; Schole LLP, New York, New York is counsel to the placement agent in connection with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2023 and 2022, and for each of the two years in the period ended December 31, 2023, incorporated by reference in this Prospectus supplement, have been audited by Brightman Almagor Zohar &amp; Co., a Firm in the Deloitte Global Network, an independent registered public accounting firm, as stated in their report incorporated by reference herein.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maintain a website at www.microbotmedical.com, through which you can access our SEC filings. The information set forth on our website is not part of this prospectus supplement or the accompanying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27,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32">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and </w:t>
      </w:r>
      <w:hyperlink r:id="rId34">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with the SEC on May 15, 2024, August 14, 2024, and November 13, 2024, respectively;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30,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27,</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18,</w:t>
        </w:r>
      </w:hyperlink>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August 1, 2024</w:t>
        </w:r>
      </w:hyperlink>
      <w:hyperlink r:id="rId3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August 13, 2024</w:t>
        </w:r>
      </w:hyperlink>
      <w:hyperlink r:id="rId3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August 22, 2024</w:t>
        </w:r>
      </w:hyperlink>
      <w:hyperlink r:id="rId3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September 17, 2024</w:t>
        </w:r>
      </w:hyperlink>
      <w:hyperlink r:id="rId3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September 30, 2024</w:t>
        </w:r>
      </w:hyperlink>
      <w:hyperlink r:id="rId3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
        <w:r>
          <w:rPr>
            <w:rFonts w:ascii="Times New Roman" w:cs="Times New Roman" w:eastAsia="Times New Roman" w:hAnsi="Times New Roman"/>
            <w:sz w:val="18"/>
            <w:szCs w:val="18"/>
            <w:u w:val="single" w:color="auto"/>
            <w:color w:val="0000EE"/>
          </w:rPr>
          <w:t>October 11, 2024</w:t>
        </w:r>
      </w:hyperlink>
      <w:hyperlink r:id="rId3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3">
        <w:r>
          <w:rPr>
            <w:rFonts w:ascii="Times New Roman" w:cs="Times New Roman" w:eastAsia="Times New Roman" w:hAnsi="Times New Roman"/>
            <w:sz w:val="18"/>
            <w:szCs w:val="18"/>
            <w:u w:val="single" w:color="auto"/>
            <w:color w:val="0000EE"/>
          </w:rPr>
          <w:t>October 15, 2024</w:t>
        </w:r>
      </w:hyperlink>
      <w:hyperlink r:id="rId36">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December 10,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19,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6,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24,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27,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7,</w:t>
        </w:r>
      </w:hyperlink>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 xml:space="preserve">February 10, 2025 </w:t>
        </w:r>
      </w:hyperlink>
      <w:hyperlink r:id="rId44">
        <w:r>
          <w:rPr>
            <w:rFonts w:ascii="Times New Roman" w:cs="Times New Roman" w:eastAsia="Times New Roman" w:hAnsi="Times New Roman"/>
            <w:sz w:val="18"/>
            <w:szCs w:val="18"/>
            <w:color w:val="000000"/>
          </w:rPr>
          <w:t>(except in each case for information contained therein which is furnished rather than filed);</w:t>
        </w:r>
      </w:hyperlink>
    </w:p>
    <w:p>
      <w:pPr>
        <w:spacing w:after="0" w:line="183"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62" w:lineRule="exact"/>
        <w:rPr>
          <w:rFonts w:ascii="Times New Roman" w:cs="Times New Roman" w:eastAsia="Times New Roman" w:hAnsi="Times New Roman"/>
          <w:sz w:val="18"/>
          <w:szCs w:val="18"/>
          <w:color w:val="0000EE"/>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0" w:lineRule="exact"/>
        <w:rPr>
          <w:rFonts w:ascii="Times New Roman" w:cs="Times New Roman" w:eastAsia="Times New Roman" w:hAnsi="Times New Roman"/>
          <w:sz w:val="18"/>
          <w:szCs w:val="18"/>
          <w:color w:val="0000EE"/>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therein); we will provide this information at no cost to the requester upon written or oral request to: Microbot Medical Inc. Attn: Chief Financial Officer, 288 Grove Street, Suite 388, Braintree, Massachusetts 02184. You may also telephone us at (781) 875-3605.</w:t>
      </w:r>
    </w:p>
    <w:p>
      <w:pPr>
        <w:spacing w:after="0" w:line="183" w:lineRule="exact"/>
        <w:rPr>
          <w:rFonts w:ascii="Times New Roman" w:cs="Times New Roman" w:eastAsia="Times New Roman" w:hAnsi="Times New Roman"/>
          <w:sz w:val="18"/>
          <w:szCs w:val="18"/>
          <w:color w:val="0000EE"/>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156845</wp:posOffset>
            </wp:positionV>
            <wp:extent cx="2631440" cy="1320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263144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 If information in any prospectus supplement is inconsistent with the information in this prospectus, then the information in that prospectus supplement will apply and will supersede the information in this prospectus.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November 29, 2023, the last reported sale price of our common stock on The Nasdaq Capital Market was $1.26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deciding whether to invest in our securities, you should consider carefully the risks that we have described on page 6 of this prospectus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We may include specific risk factors in supplements to this prospectus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This prospectus may not be used to sell our securities unless accompanied by a prospectus supplement.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89"/>
        </w:trPr>
        <w:tc>
          <w:tcPr>
            <w:tcW w:w="220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PROSPECTUS SUMMARY</w:t>
            </w:r>
          </w:p>
        </w:tc>
        <w:tc>
          <w:tcPr>
            <w:tcW w:w="8400" w:type="dxa"/>
            <w:vAlign w:val="bottom"/>
            <w:tcBorders>
              <w:bottom w:val="single" w:sz="8" w:color="CCEEFF"/>
            </w:tcBorders>
            <w:gridSpan w:val="9"/>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CAUTIONARY NOTE REGARDING FORWARD-LOOKING STATEMENTS</w:t>
            </w:r>
          </w:p>
        </w:tc>
        <w:tc>
          <w:tcPr>
            <w:tcW w:w="44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33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72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32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RIGHTS</w:t>
            </w:r>
          </w:p>
        </w:tc>
        <w:tc>
          <w:tcPr>
            <w:tcW w:w="73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21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846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976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6,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Core-Business Focus Program</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Reduction Plan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 robotic system.</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and June 2023, we raised sufficient capital that, together with the ongoing savings from the cost reduction plan, has enabled us to continue our operations through approximately April of 2024, including completion of the V&amp;V study, perform the GLP study and submit the IDE to the US Food &amp; Drug Administration. We also, retroactive to November 1, 2023, recommenced paying Rachel Vaknin, our CFO, and Simon Sharon, our CTO and General Manager, their regular salaries and benefits that were previously reduced as a result of the cost reduction plan. Continuing the continuing commitment of Harel Gadot, our CEO, to the Company to support it financially while it completes its current development and regulatory activities, his compensation will continue to be subject to his 50% reduction as part of the cost reduction plan. We continue to seek new sources of capital to stabilize our finances and provide operating runway subsequent to April of 2024. In the event the Company is not successful in raising additional capital by April of 2024, or if the results of the V&amp;V study and first-in-human trials are not promising, the Company may be forced to take more drastic actions to conserve capital or shut down operations entirely.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First-In-Human Clinical Cases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final report from our recently completed pivotal pre-clinical study using the LIBERTY Robotic Surgical System which is expected before the end of 2023, and the completion of the verification and validation (V&amp;V) process of which certain phases have been completed but others are ongoing and may be subject to delays indirectly caused by the Israel-Hamas war described below, we plan on submitting the Investigational Device Exemption (IDE) application to the U.S. Food and Drug Administration in the first quarter of 2024, in order to commence a pivotal clinical trial in humans. In addition, we are considering secondary options and contingencies in the event the IDE application is delayed.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 strategically important for commercialization of our LIBERTY device, we decided not to pursue First-In-Human trials or cases outside of the United States at this time to avoid conflict with our FDA submission process.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LIBERTY</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LIBERTY’s addressable markets are the Interventional Cardiology, Interventional Radiology and Interventional Neuroradiology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LIBERTY is being designed to have the following attributes:</w:t>
      </w:r>
    </w:p>
    <w:p>
      <w:pPr>
        <w:spacing w:after="0" w:line="22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and only fully disposable, robotic system for endovascular procedures.</w:t>
      </w:r>
    </w:p>
    <w:p>
      <w:pPr>
        <w:spacing w:after="0" w:line="9" w:lineRule="exact"/>
        <w:rPr>
          <w:rFonts w:ascii="Times New Roman" w:cs="Times New Roman" w:eastAsia="Times New Roman" w:hAnsi="Times New Roman"/>
          <w:sz w:val="18"/>
          <w:szCs w:val="18"/>
          <w:color w:val="auto"/>
        </w:rPr>
      </w:pPr>
    </w:p>
    <w:p>
      <w:pPr>
        <w:ind w:left="1300" w:right="20" w:hanging="644"/>
        <w:spacing w:after="0" w:line="182" w:lineRule="auto"/>
        <w:tabs>
          <w:tab w:leader="none" w:pos="130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Can be made compatible with Microbot’s NitiLoop’s NovaCross products or possibly other guidewire/microcatheter technologies, that combines guidewire and microcatheter into a single device.</w:t>
      </w:r>
    </w:p>
    <w:p>
      <w:pPr>
        <w:spacing w:after="0" w:line="1" w:lineRule="exact"/>
        <w:rPr>
          <w:rFonts w:ascii="Times New Roman" w:cs="Times New Roman" w:eastAsia="Times New Roman" w:hAnsi="Times New Roman"/>
          <w:sz w:val="36"/>
          <w:szCs w:val="36"/>
          <w:color w:val="auto"/>
          <w:vertAlign w:val="superscript"/>
        </w:rPr>
      </w:pPr>
    </w:p>
    <w:p>
      <w:pPr>
        <w:ind w:left="130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rotational and tip control of its guidewire, as well as linear motion for an additional “over the wire” device.</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ind w:left="1300" w:hanging="644"/>
        <w:spacing w:after="0"/>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use - LIBERTY’s intuitive remote controls aims to simplify advanced procedures while shortening the physician’s learning curve.</w:t>
      </w:r>
    </w:p>
    <w:p>
      <w:pPr>
        <w:spacing w:after="0" w:line="20"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2021, we achieved design freeze of the LIBERTY device.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The Company believes the results of the study allow it to move forward and focus on the next phases to ultimately include a U.S.-based pivotal pre-clinical study. The Company, together with its regulatory experts and consultants, believe a larger sample size and robust data generated by this study will advance the company’s efforts towards the submission of an Investigational Device Exemption (IDE) with the U.S. Food and Drug Administration (FDA).</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Robotic Surgical System. The pivotal study was conducted by three leading interventional radiologists that utilized the LIBERTY Robotic Surgical System to reach a total of 48 animal targets. A total of 6 LIBERTY Systems were used in the study, and each was used to reach a total of 8 targets. All 6 LIBERTY Systems performed flawlessly, with 100% usability and technical success. No acute adverse events or complications were visually observed intra-operative. We expect to receive the comprehensive final report later in the fourth quarter of 2023. Subject to the final report, and the completion of the verification and validation process which is ongoing but subject to delays indirectly caused by the Israel-Hamas war described above, we plan on submitting the Investigational Device Exemption application to the FDA in the first quarter of 2024, in order to commence our pivotal clinical trial in humans.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NovaCross</w:t>
      </w:r>
      <w:r>
        <w:rPr>
          <w:rFonts w:ascii="Times New Roman" w:cs="Times New Roman" w:eastAsia="Times New Roman" w:hAnsi="Times New Roman"/>
          <w:sz w:val="29"/>
          <w:szCs w:val="29"/>
          <w:b w:val="1"/>
          <w:bCs w:val="1"/>
          <w:color w:val="auto"/>
          <w:vertAlign w:val="superscript"/>
        </w:rPr>
        <w:t>TM</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Technologies and Platforms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2022 and our Quarterly Reports on Form 10-Q for the three months ended March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and September 30, 2023, as described under the caption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of this prospectus.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conversion terms,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par value $0.01 per share. As of November 29, 2023 we had 11,707,317 shares of common stock issued and outstanding and approximately 100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below for directions on obtaining these documents. The summary below is also qualified by provisions of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“MBOT.”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authority to issue 1,000,000 shares of preferred stock, par value $0.01 per share. As of the date of this prospectus, no shares of our preferred stock were outstanding or designated.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 below for directions on obtaining these documents. The summary below is also qualified by provisions of applicable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the affairs of the Company;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preferred stock offered by this prospectus will, when issued, be fully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and a description of that series of our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29, 2023, we had outstanding: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1,022,495 shares of our common stock issuable upon the exercise of outstanding series A preferred investment options expiring in October 2027, originally at an exercise price per share of $4.64 but amended to a reduced exercise price per share of $2.20 in connection with the offering that was consummated on May 24, 2023;</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June 2028, at an exercise price per share of $2.6719;</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350,878 shares of our common stock issuable upon the exercise of outstanding series C preferred investment options expiring in December 2028, at an exercise price per share of $2.075;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312,309 shares of our common stock issuable upon the exercise of outstanding series D preferred investment options expiring in December 2028, at an exercise price per share of $3.19;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on any material or special U.S. federal income tax considerations applicable to a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preferred stock or other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stockholders are entitled to oversubscription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w:t>
      </w:r>
      <w:r>
        <w:rPr>
          <w:rFonts w:ascii="Times New Roman" w:cs="Times New Roman" w:eastAsia="Times New Roman" w:hAnsi="Times New Roman"/>
          <w:sz w:val="18"/>
          <w:szCs w:val="18"/>
          <w:i w:val="1"/>
          <w:iCs w:val="1"/>
          <w:color w:val="auto"/>
        </w:rPr>
        <w:t>Description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Preferred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Warrants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Rights</w:t>
      </w:r>
      <w:r>
        <w:rPr>
          <w:rFonts w:ascii="Times New Roman" w:cs="Times New Roman" w:eastAsia="Times New Roman" w:hAnsi="Times New Roman"/>
          <w:sz w:val="18"/>
          <w:szCs w:val="18"/>
          <w:color w:val="auto"/>
        </w:rPr>
        <w:t>” will apply to each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applicable, and to any common stock, preferred stock, debt security, warrant or right included in each unit,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proposals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stockholder vote required for certain 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Eighth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by 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2022 and 2021, and for each of the two years in the period ended December 31, 2022,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2022 filed with the SEC on </w:t>
      </w:r>
      <w:hyperlink r:id="rId73">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2023, June 30, 2023 and September 30, 2023 that we filed with the SEC on </w:t>
      </w:r>
      <w:hyperlink r:id="rId74">
        <w:r>
          <w:rPr>
            <w:rFonts w:ascii="Times New Roman" w:cs="Times New Roman" w:eastAsia="Times New Roman" w:hAnsi="Times New Roman"/>
            <w:sz w:val="18"/>
            <w:szCs w:val="18"/>
            <w:u w:val="single" w:color="auto"/>
            <w:color w:val="0000EE"/>
          </w:rPr>
          <w:t>May 17, 2023</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August 14,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6">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1"/>
        </w:numPr>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18,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u w:val="single" w:color="auto"/>
            <w:color w:val="0000EE"/>
          </w:rPr>
          <w:t>25, 2023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8">
        <w:r>
          <w:rPr>
            <w:rFonts w:ascii="Times New Roman" w:cs="Times New Roman" w:eastAsia="Times New Roman" w:hAnsi="Times New Roman"/>
            <w:sz w:val="18"/>
            <w:szCs w:val="18"/>
            <w:u w:val="single" w:color="auto"/>
            <w:color w:val="0000EE"/>
          </w:rPr>
          <w:t>May 31,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9">
        <w:r>
          <w:rPr>
            <w:rFonts w:ascii="Times New Roman" w:cs="Times New Roman" w:eastAsia="Times New Roman" w:hAnsi="Times New Roman"/>
            <w:sz w:val="18"/>
            <w:szCs w:val="18"/>
            <w:u w:val="single" w:color="auto"/>
            <w:color w:val="0000EE"/>
          </w:rPr>
          <w:t>June 2,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0">
        <w:r>
          <w:rPr>
            <w:rFonts w:ascii="Times New Roman" w:cs="Times New Roman" w:eastAsia="Times New Roman" w:hAnsi="Times New Roman"/>
            <w:sz w:val="18"/>
            <w:szCs w:val="18"/>
            <w:u w:val="single" w:color="auto"/>
            <w:color w:val="0000EE"/>
          </w:rPr>
          <w:t>June 6,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1">
        <w:r>
          <w:rPr>
            <w:rFonts w:ascii="Times New Roman" w:cs="Times New Roman" w:eastAsia="Times New Roman" w:hAnsi="Times New Roman"/>
            <w:sz w:val="18"/>
            <w:szCs w:val="18"/>
            <w:u w:val="single" w:color="auto"/>
            <w:color w:val="0000EE"/>
          </w:rPr>
          <w:t>June 16,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2">
        <w:r>
          <w:rPr>
            <w:rFonts w:ascii="Times New Roman" w:cs="Times New Roman" w:eastAsia="Times New Roman" w:hAnsi="Times New Roman"/>
            <w:sz w:val="18"/>
            <w:szCs w:val="18"/>
            <w:u w:val="single" w:color="auto"/>
            <w:color w:val="0000EE"/>
          </w:rPr>
          <w:t>June 22,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3">
        <w:r>
          <w:rPr>
            <w:rFonts w:ascii="Times New Roman" w:cs="Times New Roman" w:eastAsia="Times New Roman" w:hAnsi="Times New Roman"/>
            <w:sz w:val="18"/>
            <w:szCs w:val="18"/>
            <w:u w:val="single" w:color="auto"/>
            <w:color w:val="0000EE"/>
          </w:rPr>
          <w:t>June 29,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4">
        <w:r>
          <w:rPr>
            <w:rFonts w:ascii="Times New Roman" w:cs="Times New Roman" w:eastAsia="Times New Roman" w:hAnsi="Times New Roman"/>
            <w:sz w:val="18"/>
            <w:szCs w:val="18"/>
            <w:u w:val="single" w:color="auto"/>
            <w:color w:val="0000EE"/>
          </w:rPr>
          <w:t>September 5, 2023</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5">
        <w:r>
          <w:rPr>
            <w:rFonts w:ascii="Times New Roman" w:cs="Times New Roman" w:eastAsia="Times New Roman" w:hAnsi="Times New Roman"/>
            <w:sz w:val="18"/>
            <w:szCs w:val="18"/>
            <w:u w:val="single" w:color="auto"/>
            <w:color w:val="0000EE"/>
          </w:rPr>
          <w:t>October 17, 2023</w:t>
        </w:r>
      </w:hyperlink>
      <w:hyperlink r:id="rId77">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86">
        <w:r>
          <w:rPr>
            <w:rFonts w:ascii="Times New Roman" w:cs="Times New Roman" w:eastAsia="Times New Roman" w:hAnsi="Times New Roman"/>
            <w:sz w:val="18"/>
            <w:szCs w:val="18"/>
            <w:u w:val="single" w:color="auto"/>
            <w:color w:val="0000EE"/>
          </w:rPr>
          <w:t>October 19,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7">
        <w:r>
          <w:rPr>
            <w:rFonts w:ascii="Times New Roman" w:cs="Times New Roman" w:eastAsia="Times New Roman" w:hAnsi="Times New Roman"/>
            <w:sz w:val="18"/>
            <w:szCs w:val="18"/>
            <w:u w:val="single" w:color="auto"/>
            <w:color w:val="0000EE"/>
          </w:rPr>
          <w:t>October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8">
        <w:r>
          <w:rPr>
            <w:rFonts w:ascii="Times New Roman" w:cs="Times New Roman" w:eastAsia="Times New Roman" w:hAnsi="Times New Roman"/>
            <w:sz w:val="18"/>
            <w:szCs w:val="18"/>
            <w:u w:val="single" w:color="auto"/>
            <w:color w:val="0000EE"/>
          </w:rPr>
          <w:t>October 31,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9">
        <w:r>
          <w:rPr>
            <w:rFonts w:ascii="Times New Roman" w:cs="Times New Roman" w:eastAsia="Times New Roman" w:hAnsi="Times New Roman"/>
            <w:sz w:val="18"/>
            <w:szCs w:val="18"/>
            <w:u w:val="single" w:color="auto"/>
            <w:color w:val="0000EE"/>
          </w:rPr>
          <w:t>November 6,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0">
        <w:r>
          <w:rPr>
            <w:rFonts w:ascii="Times New Roman" w:cs="Times New Roman" w:eastAsia="Times New Roman" w:hAnsi="Times New Roman"/>
            <w:sz w:val="18"/>
            <w:szCs w:val="18"/>
            <w:u w:val="single" w:color="auto"/>
            <w:color w:val="0000EE"/>
          </w:rPr>
          <w:t xml:space="preserve">November 8, 2023, </w:t>
        </w:r>
      </w:hyperlink>
      <w:hyperlink r:id="rId91">
        <w:r>
          <w:rPr>
            <w:rFonts w:ascii="Times New Roman" w:cs="Times New Roman" w:eastAsia="Times New Roman" w:hAnsi="Times New Roman"/>
            <w:sz w:val="18"/>
            <w:szCs w:val="18"/>
            <w:u w:val="single" w:color="auto"/>
            <w:color w:val="0000EE"/>
          </w:rPr>
          <w:t>November 13,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2">
        <w:r>
          <w:rPr>
            <w:rFonts w:ascii="Times New Roman" w:cs="Times New Roman" w:eastAsia="Times New Roman" w:hAnsi="Times New Roman"/>
            <w:sz w:val="18"/>
            <w:szCs w:val="18"/>
            <w:u w:val="single" w:color="auto"/>
            <w:color w:val="0000EE"/>
          </w:rPr>
          <w:t xml:space="preserve">November 14,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93">
        <w:r>
          <w:rPr>
            <w:rFonts w:ascii="Times New Roman" w:cs="Times New Roman" w:eastAsia="Times New Roman" w:hAnsi="Times New Roman"/>
            <w:sz w:val="18"/>
            <w:szCs w:val="18"/>
            <w:u w:val="single" w:color="auto"/>
            <w:color w:val="0000EE"/>
          </w:rPr>
          <w:t>November 21,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 therein which is furnished rather than filed);</w:t>
      </w:r>
    </w:p>
    <w:p>
      <w:pPr>
        <w:spacing w:after="0" w:line="179"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94">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September 19, 2023 (but only with respect to information required by Part III of our Annual Report on </w:t>
      </w:r>
      <w:hyperlink r:id="rId7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which information shall update and supersede information included in Part III of our Annual Report on Form 10-K for the fiscal year ended December 31, 2022);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62"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b w:val="1"/>
          <w:bCs w:val="1"/>
          <w:color w:val="auto"/>
        </w:rPr>
        <w:t>6,103,289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164465</wp:posOffset>
            </wp:positionV>
            <wp:extent cx="3446145" cy="12172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6">
                      <a:extLst>
                        <a:ext uri="{28A0092B-C50C-407E-A947-70E740481C1C}"/>
                      </a:extLst>
                    </a:blip>
                    <a:srcRect/>
                    <a:stretch>
                      <a:fillRect/>
                    </a:stretch>
                  </pic:blipFill>
                  <pic:spPr bwMode="auto">
                    <a:xfrm>
                      <a:off x="0" y="0"/>
                      <a:ext cx="3446145" cy="121729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H.C. Wainwright &amp; Co.</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February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68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lvl w:ilvl="1">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jpe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95" Type="http://schemas.openxmlformats.org/officeDocument/2006/relationships/image" Target="media/image51.png"/><Relationship Id="rId96" Type="http://schemas.openxmlformats.org/officeDocument/2006/relationships/image" Target="media/image52.jpeg"/><Relationship Id="rId97" Type="http://schemas.openxmlformats.org/officeDocument/2006/relationships/image" Target="media/image53.png"/><Relationship Id="rId31" Type="http://schemas.openxmlformats.org/officeDocument/2006/relationships/hyperlink" Target="https://www.sec.gov/Archives/edgar/data/883975/000149315224011521/form10-k.htm" TargetMode="External"/><Relationship Id="rId32" Type="http://schemas.openxmlformats.org/officeDocument/2006/relationships/hyperlink" Target="https://www.sec.gov/Archives/edgar/data/883975/000149315224019535/form10-q.htm" TargetMode="External"/><Relationship Id="rId33" Type="http://schemas.openxmlformats.org/officeDocument/2006/relationships/hyperlink" Target="https://www.sec.gov/Archives/edgar/data/883975/000149315224032031/form10-q.htm" TargetMode="External"/><Relationship Id="rId34" Type="http://schemas.openxmlformats.org/officeDocument/2006/relationships/hyperlink" Target="https://www.sec.gov/Archives/edgar/data/883975/000149315224045136/form10-q.htm" TargetMode="External"/><Relationship Id="rId35" Type="http://schemas.openxmlformats.org/officeDocument/2006/relationships/hyperlink" Target="https://www.sec.gov/Archives/edgar/data/883975/000149315224007874/form8-k.htm" TargetMode="External"/><Relationship Id="rId36" Type="http://schemas.openxmlformats.org/officeDocument/2006/relationships/hyperlink" Target="https://www.sec.gov/Archives/edgar/data/883975/000149315224028281/form8-k.htm" TargetMode="External"/><Relationship Id="rId37" Type="http://schemas.openxmlformats.org/officeDocument/2006/relationships/hyperlink" Target="https://www.sec.gov/Archives/edgar/data/883975/000149315224029869/form8-k.htm" TargetMode="External"/><Relationship Id="rId38" Type="http://schemas.openxmlformats.org/officeDocument/2006/relationships/hyperlink" Target="https://www.sec.gov/Archives/edgar/data/883975/000149315224031474/form8-k.htm" TargetMode="External"/><Relationship Id="rId39" Type="http://schemas.openxmlformats.org/officeDocument/2006/relationships/hyperlink" Target="https://www.sec.gov/Archives/edgar/data/883975/000149315224033503/form8-k.htm" TargetMode="External"/><Relationship Id="rId40" Type="http://schemas.openxmlformats.org/officeDocument/2006/relationships/hyperlink" Target="https://www.sec.gov/Archives/edgar/data/883975/000149315224036539/form8-k.htm" TargetMode="External"/><Relationship Id="rId41" Type="http://schemas.openxmlformats.org/officeDocument/2006/relationships/hyperlink" Target="https://www.sec.gov/Archives/edgar/data/883975/000149315224038702/form8-k.htm" TargetMode="External"/><Relationship Id="rId42" Type="http://schemas.openxmlformats.org/officeDocument/2006/relationships/hyperlink" Target="https://www.sec.gov/Archives/edgar/data/883975/000149315224040913/form8-k.htm" TargetMode="External"/><Relationship Id="rId43" Type="http://schemas.openxmlformats.org/officeDocument/2006/relationships/hyperlink" Target="https://www.sec.gov/Archives/edgar/data/883975/000149315224041048/form8-k.htm" TargetMode="External"/><Relationship Id="rId44" Type="http://schemas.openxmlformats.org/officeDocument/2006/relationships/hyperlink" Target="https://www.sec.gov/Archives/edgar/data/883975/000149315225005410/form8-k.htm" TargetMode="External"/><Relationship Id="rId45" Type="http://schemas.openxmlformats.org/officeDocument/2006/relationships/hyperlink" Target="https://www.sec.gov/Archives/edgar/data/883975/000149315225005489/form8-k.htm" TargetMode="External"/><Relationship Id="rId73" Type="http://schemas.openxmlformats.org/officeDocument/2006/relationships/hyperlink" Target="https://www.sec.gov/Archives/edgar/data/883975/000149315223010223/form10-k.htm" TargetMode="External"/><Relationship Id="rId74" Type="http://schemas.openxmlformats.org/officeDocument/2006/relationships/hyperlink" Target="https://www.sec.gov/Archives/edgar/data/883975/000149315223017966/form10-q.htm" TargetMode="External"/><Relationship Id="rId75" Type="http://schemas.openxmlformats.org/officeDocument/2006/relationships/hyperlink" Target="https://www.sec.gov/Archives/edgar/data/883975/000149315223028081/form10-q.htm" TargetMode="External"/><Relationship Id="rId76" Type="http://schemas.openxmlformats.org/officeDocument/2006/relationships/hyperlink" Target="https://www.sec.gov/ix?doc=/Archives/edgar/data/883975/000149315223041069/form10-q.htm" TargetMode="External"/><Relationship Id="rId77" Type="http://schemas.openxmlformats.org/officeDocument/2006/relationships/hyperlink" Target="https://www.sec.gov/ix?doc=/Archives/edgar/data/883975/000149315223019000/form8-k.htm" TargetMode="External"/><Relationship Id="rId78" Type="http://schemas.openxmlformats.org/officeDocument/2006/relationships/hyperlink" Target="https://www.sec.gov/ix?doc=/Archives/edgar/data/883975/000149315223019537/form8-k.htm" TargetMode="External"/><Relationship Id="rId79" Type="http://schemas.openxmlformats.org/officeDocument/2006/relationships/hyperlink" Target="https://www.sec.gov/ix?doc=/Archives/edgar/data/883975/000149315223019871/form8-k.htm" TargetMode="External"/><Relationship Id="rId80" Type="http://schemas.openxmlformats.org/officeDocument/2006/relationships/hyperlink" Target="https://www.sec.gov/ix?doc=/Archives/edgar/data/883975/000149315223020309/form8-k.htm" TargetMode="External"/><Relationship Id="rId81" Type="http://schemas.openxmlformats.org/officeDocument/2006/relationships/hyperlink" Target="https://www.sec.gov/ix?doc=/Archives/edgar/data/883975/000149315223021553/form8-k.htm" TargetMode="External"/><Relationship Id="rId82" Type="http://schemas.openxmlformats.org/officeDocument/2006/relationships/hyperlink" Target="https://www.sec.gov/ix?doc=/Archives/edgar/data/883975/000149315223022078/form8-k.htm" TargetMode="External"/><Relationship Id="rId83" Type="http://schemas.openxmlformats.org/officeDocument/2006/relationships/hyperlink" Target="https://www.sec.gov/ix?doc=/Archives/edgar/data/883975/000149315223022844/form8-k.htm" TargetMode="External"/><Relationship Id="rId84" Type="http://schemas.openxmlformats.org/officeDocument/2006/relationships/hyperlink" Target="https://www.sec.gov/ix?doc=/Archives/edgar/data/883975/000149315223031689/form8-k.htm" TargetMode="External"/><Relationship Id="rId85" Type="http://schemas.openxmlformats.org/officeDocument/2006/relationships/hyperlink" Target="https://www.sec.gov/ix?doc=/Archives/edgar/data/883975/000149315223037454/form8-k.htm" TargetMode="External"/><Relationship Id="rId86" Type="http://schemas.openxmlformats.org/officeDocument/2006/relationships/hyperlink" Target="https://www.sec.gov/ix?doc=/Archives/edgar/data/883975/000149315223037676/form8-k.htm" TargetMode="External"/><Relationship Id="rId87" Type="http://schemas.openxmlformats.org/officeDocument/2006/relationships/hyperlink" Target="https://www.sec.gov/ix?doc=/Archives/edgar/data/883975/000149315223038050/form8-k.htm" TargetMode="External"/><Relationship Id="rId88" Type="http://schemas.openxmlformats.org/officeDocument/2006/relationships/hyperlink" Target="https://www.sec.gov/ix?doc=/Archives/edgar/data/883975/000149315223038792/form8-k.htm" TargetMode="External"/><Relationship Id="rId89" Type="http://schemas.openxmlformats.org/officeDocument/2006/relationships/hyperlink" Target="https://www.sec.gov/ix?doc=/Archives/edgar/data/883975/000149315223039509/form8-k.htm" TargetMode="External"/><Relationship Id="rId90" Type="http://schemas.openxmlformats.org/officeDocument/2006/relationships/hyperlink" Target="https://www.sec.gov/ix?doc=/Archives/edgar/data/883975/000149315223039834/form8-k.htm" TargetMode="External"/><Relationship Id="rId91" Type="http://schemas.openxmlformats.org/officeDocument/2006/relationships/hyperlink" Target="https://www.sec.gov/ix?doc=/Archives/edgar/data/883975/000149315223040331/form8-k.htm" TargetMode="External"/><Relationship Id="rId92" Type="http://schemas.openxmlformats.org/officeDocument/2006/relationships/hyperlink" Target="https://www.sec.gov/ix?doc=/Archives/edgar/data/883975/000149315223041009/form8-k.htm" TargetMode="External"/><Relationship Id="rId93" Type="http://schemas.openxmlformats.org/officeDocument/2006/relationships/hyperlink" Target="https://www.sec.gov/Archives/edgar/data/883975/000149315223042204/form8-k.htm" TargetMode="External"/><Relationship Id="rId94" Type="http://schemas.openxmlformats.org/officeDocument/2006/relationships/hyperlink" Target="https://www.sec.gov/Archives/edgar/data/883975/000149315223033004/form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2025-02-11T08:20:25Z</dcterms:created>
  <dcterms:modified xsi:type="dcterms:W3CDTF">2025-02-11T08:20:25Z</dcterms:modified>
</cp:coreProperties>
</file>