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STEMCELLS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STEM</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540" w:type="dxa"/>
            <w:vAlign w:val="bottom"/>
            <w:tcBorders>
              <w:top w:val="single" w:sz="8" w:color="0000EE"/>
            </w:tcBorders>
          </w:tcPr>
          <w:p>
            <w:pPr>
              <w:spacing w:after="0"/>
              <w:rPr>
                <w:sz w:val="5"/>
                <w:szCs w:val="5"/>
                <w:color w:val="auto"/>
              </w:rPr>
            </w:pPr>
          </w:p>
        </w:tc>
        <w:tc>
          <w:tcPr>
            <w:tcW w:w="2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540" w:type="dxa"/>
            <w:vAlign w:val="bottom"/>
            <w:tcBorders>
              <w:bottom w:val="single" w:sz="8" w:color="2C2C2C"/>
            </w:tcBorders>
          </w:tcPr>
          <w:p>
            <w:pPr>
              <w:spacing w:after="0"/>
              <w:rPr>
                <w:sz w:val="15"/>
                <w:szCs w:val="15"/>
                <w:color w:val="auto"/>
              </w:rPr>
            </w:pPr>
          </w:p>
        </w:tc>
        <w:tc>
          <w:tcPr>
            <w:tcW w:w="22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82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01/09/2004</w:t>
            </w:r>
          </w:p>
        </w:tc>
        <w:tc>
          <w:tcPr>
            <w:tcW w:w="2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20" w:type="dxa"/>
            <w:vAlign w:val="bottom"/>
            <w:gridSpan w:val="4"/>
            <w:vMerge w:val="continue"/>
          </w:tcPr>
          <w:p>
            <w:pPr>
              <w:spacing w:after="0"/>
              <w:rPr>
                <w:sz w:val="6"/>
                <w:szCs w:val="6"/>
                <w:color w:val="auto"/>
              </w:rPr>
            </w:pPr>
          </w:p>
        </w:tc>
        <w:tc>
          <w:tcPr>
            <w:tcW w:w="2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666 FIFTH AVE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38"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10103-0899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38"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300" w:type="dxa"/>
            <w:vAlign w:val="bottom"/>
          </w:tcPr>
          <w:p>
            <w:pPr>
              <w:spacing w:after="0"/>
              <w:rPr>
                <w:sz w:val="14"/>
                <w:szCs w:val="14"/>
                <w:color w:val="auto"/>
              </w:rPr>
            </w:pPr>
          </w:p>
        </w:tc>
        <w:tc>
          <w:tcPr>
            <w:tcW w:w="1320" w:type="dxa"/>
            <w:vAlign w:val="bottom"/>
            <w:gridSpan w:val="5"/>
          </w:tcPr>
          <w:p>
            <w:pPr>
              <w:ind w:left="300"/>
              <w:spacing w:after="0"/>
              <w:rPr>
                <w:sz w:val="20"/>
                <w:szCs w:val="20"/>
                <w:color w:val="auto"/>
              </w:rPr>
            </w:pPr>
            <w:r>
              <w:rPr>
                <w:rFonts w:ascii="Arial" w:cs="Arial" w:eastAsia="Arial" w:hAnsi="Arial"/>
                <w:sz w:val="12"/>
                <w:szCs w:val="12"/>
                <w:b w:val="1"/>
                <w:bCs w:val="1"/>
                <w:color w:val="auto"/>
              </w:rPr>
              <w:t>2. Transaction</w:t>
            </w:r>
          </w:p>
        </w:tc>
        <w:tc>
          <w:tcPr>
            <w:tcW w:w="100" w:type="dxa"/>
            <w:vAlign w:val="bottom"/>
          </w:tcPr>
          <w:p>
            <w:pPr>
              <w:spacing w:after="0"/>
              <w:rPr>
                <w:sz w:val="14"/>
                <w:szCs w:val="14"/>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gridSpan w:val="4"/>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20" w:type="dxa"/>
            <w:vAlign w:val="bottom"/>
            <w:gridSpan w:val="5"/>
          </w:tcPr>
          <w:p>
            <w:pPr>
              <w:ind w:left="30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6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92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5"/>
          </w:tcPr>
          <w:p>
            <w:pPr>
              <w:ind w:left="60"/>
              <w:spacing w:after="0"/>
              <w:rPr>
                <w:sz w:val="20"/>
                <w:szCs w:val="20"/>
                <w:color w:val="auto"/>
              </w:rPr>
            </w:pPr>
            <w:r>
              <w:rPr>
                <w:rFonts w:ascii="Arial" w:cs="Arial" w:eastAsia="Arial" w:hAnsi="Arial"/>
                <w:sz w:val="18"/>
                <w:szCs w:val="18"/>
                <w:color w:val="0000FF"/>
                <w:w w:val="86"/>
              </w:rPr>
              <w:t>Common Stock, par value $0.01 per share</w:t>
            </w:r>
          </w:p>
        </w:tc>
        <w:tc>
          <w:tcPr>
            <w:tcW w:w="1320" w:type="dxa"/>
            <w:vAlign w:val="bottom"/>
            <w:gridSpan w:val="5"/>
            <w:vMerge w:val="restart"/>
          </w:tcPr>
          <w:p>
            <w:pPr>
              <w:ind w:left="400"/>
              <w:spacing w:after="0"/>
              <w:rPr>
                <w:sz w:val="20"/>
                <w:szCs w:val="20"/>
                <w:color w:val="auto"/>
              </w:rPr>
            </w:pPr>
            <w:r>
              <w:rPr>
                <w:rFonts w:ascii="Arial" w:cs="Arial" w:eastAsia="Arial" w:hAnsi="Arial"/>
                <w:sz w:val="18"/>
                <w:szCs w:val="18"/>
                <w:color w:val="0000FF"/>
                <w:w w:val="99"/>
              </w:rPr>
              <w:t>01/09/2004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vMerge w:val="restart"/>
          </w:tcPr>
          <w:p>
            <w:pPr>
              <w:ind w:left="200"/>
              <w:spacing w:after="0"/>
              <w:rPr>
                <w:sz w:val="20"/>
                <w:szCs w:val="20"/>
                <w:color w:val="auto"/>
              </w:rPr>
            </w:pPr>
            <w:r>
              <w:rPr>
                <w:rFonts w:ascii="Arial" w:cs="Arial" w:eastAsia="Arial" w:hAnsi="Arial"/>
                <w:sz w:val="14"/>
                <w:szCs w:val="14"/>
                <w:color w:val="0000FF"/>
              </w:rPr>
              <w:t>S</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0000FF"/>
              </w:rPr>
              <w:t>66,000</w:t>
            </w:r>
          </w:p>
        </w:tc>
        <w:tc>
          <w:tcPr>
            <w:tcW w:w="68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2.17</w:t>
            </w:r>
          </w:p>
        </w:tc>
        <w:tc>
          <w:tcPr>
            <w:tcW w:w="1200" w:type="dxa"/>
            <w:vAlign w:val="bottom"/>
            <w:gridSpan w:val="2"/>
            <w:vMerge w:val="restart"/>
          </w:tcPr>
          <w:p>
            <w:pPr>
              <w:ind w:left="240"/>
              <w:spacing w:after="0"/>
              <w:rPr>
                <w:sz w:val="20"/>
                <w:szCs w:val="20"/>
                <w:color w:val="auto"/>
              </w:rPr>
            </w:pPr>
            <w:r>
              <w:rPr>
                <w:rFonts w:ascii="Arial" w:cs="Arial" w:eastAsia="Arial" w:hAnsi="Arial"/>
                <w:sz w:val="18"/>
                <w:szCs w:val="18"/>
                <w:color w:val="0000FF"/>
              </w:rPr>
              <w:t>3,093,104</w:t>
            </w:r>
          </w:p>
        </w:tc>
        <w:tc>
          <w:tcPr>
            <w:tcW w:w="140" w:type="dxa"/>
            <w:vAlign w:val="bottom"/>
          </w:tcPr>
          <w:p>
            <w:pPr>
              <w:spacing w:after="0"/>
              <w:rPr>
                <w:sz w:val="22"/>
                <w:szCs w:val="22"/>
                <w:color w:val="auto"/>
              </w:rPr>
            </w:pPr>
          </w:p>
        </w:tc>
        <w:tc>
          <w:tcPr>
            <w:tcW w:w="860" w:type="dxa"/>
            <w:vAlign w:val="bottom"/>
            <w:vMerge w:val="restart"/>
          </w:tcPr>
          <w:p>
            <w:pPr>
              <w:ind w:left="20"/>
              <w:spacing w:after="0"/>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60" w:type="dxa"/>
            <w:vAlign w:val="bottom"/>
            <w:gridSpan w:val="2"/>
            <w:vMerge w:val="restart"/>
          </w:tcPr>
          <w:p>
            <w:pPr>
              <w:spacing w:after="0"/>
              <w:rPr>
                <w:sz w:val="20"/>
                <w:szCs w:val="20"/>
                <w:color w:val="auto"/>
              </w:rPr>
            </w:pPr>
            <w:r>
              <w:rPr>
                <w:rFonts w:ascii="Arial" w:cs="Arial" w:eastAsia="Arial" w:hAnsi="Arial"/>
                <w:sz w:val="35"/>
                <w:szCs w:val="35"/>
                <w:color w:val="0000FF"/>
                <w:w w:val="88"/>
                <w:vertAlign w:val="subscript"/>
              </w:rPr>
              <w:t>See</w:t>
            </w:r>
            <w:r>
              <w:rPr>
                <w:rFonts w:ascii="Arial" w:cs="Arial" w:eastAsia="Arial" w:hAnsi="Arial"/>
                <w:sz w:val="11"/>
                <w:szCs w:val="11"/>
                <w:color w:val="008000"/>
                <w:w w:val="88"/>
              </w:rPr>
              <w:t>(1)(2)(3)(4)</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w w:val="98"/>
              </w:rPr>
              <w:t>("Common Stock")</w:t>
            </w: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gridSpan w:val="2"/>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Arial" w:cs="Arial" w:eastAsia="Arial" w:hAnsi="Arial"/>
                <w:sz w:val="18"/>
                <w:szCs w:val="18"/>
                <w:color w:val="0000FF"/>
                <w:w w:val="99"/>
              </w:rPr>
              <w:t>01/09/2004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44,000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5"/>
              </w:rPr>
              <w:t>$</w:t>
            </w:r>
            <w:r>
              <w:rPr>
                <w:rFonts w:ascii="Arial" w:cs="Arial" w:eastAsia="Arial" w:hAnsi="Arial"/>
                <w:sz w:val="18"/>
                <w:szCs w:val="18"/>
                <w:color w:val="0000FF"/>
                <w:w w:val="85"/>
              </w:rPr>
              <w:t>2.2</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3,049,104</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w w:val="86"/>
                <w:vertAlign w:val="subscript"/>
              </w:rPr>
              <w:t>See</w:t>
            </w:r>
            <w:r>
              <w:rPr>
                <w:rFonts w:ascii="Arial" w:cs="Arial" w:eastAsia="Arial" w:hAnsi="Arial"/>
                <w:sz w:val="11"/>
                <w:szCs w:val="11"/>
                <w:color w:val="008000"/>
                <w:w w:val="8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Arial" w:cs="Arial" w:eastAsia="Arial" w:hAnsi="Arial"/>
                <w:sz w:val="18"/>
                <w:szCs w:val="18"/>
                <w:color w:val="0000FF"/>
                <w:w w:val="99"/>
              </w:rPr>
              <w:t>01/12/2004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61,000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2.09</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2,988,104</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40" w:type="dxa"/>
            <w:vAlign w:val="bottom"/>
            <w:tcBorders>
              <w:bottom w:val="single" w:sz="8" w:color="2C2C2C"/>
            </w:tcBorders>
          </w:tcPr>
          <w:p>
            <w:pPr>
              <w:spacing w:after="0" w:line="324" w:lineRule="exact"/>
              <w:rPr>
                <w:sz w:val="20"/>
                <w:szCs w:val="20"/>
                <w:color w:val="auto"/>
              </w:rPr>
            </w:pPr>
            <w:r>
              <w:rPr>
                <w:rFonts w:ascii="Arial" w:cs="Arial" w:eastAsia="Arial" w:hAnsi="Arial"/>
                <w:sz w:val="35"/>
                <w:szCs w:val="35"/>
                <w:color w:val="0000FF"/>
                <w:w w:val="86"/>
                <w:vertAlign w:val="subscript"/>
              </w:rPr>
              <w:t>See</w:t>
            </w:r>
            <w:r>
              <w:rPr>
                <w:rFonts w:ascii="Arial" w:cs="Arial" w:eastAsia="Arial" w:hAnsi="Arial"/>
                <w:sz w:val="11"/>
                <w:szCs w:val="11"/>
                <w:color w:val="008000"/>
                <w:w w:val="86"/>
              </w:rPr>
              <w:t>(1)(2)(3)(4)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18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5"/>
          </w:tcPr>
          <w:p>
            <w:pPr>
              <w:ind w:left="400"/>
              <w:spacing w:after="0"/>
              <w:rPr>
                <w:sz w:val="20"/>
                <w:szCs w:val="20"/>
                <w:color w:val="auto"/>
              </w:rPr>
            </w:pPr>
            <w:r>
              <w:rPr>
                <w:rFonts w:ascii="Arial" w:cs="Arial" w:eastAsia="Arial" w:hAnsi="Arial"/>
                <w:sz w:val="18"/>
                <w:szCs w:val="18"/>
                <w:color w:val="0000FF"/>
                <w:w w:val="99"/>
              </w:rPr>
              <w:t>01/13/2004</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31,000</w:t>
            </w:r>
          </w:p>
        </w:tc>
        <w:tc>
          <w:tcPr>
            <w:tcW w:w="68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rPr>
              <w:t>D</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2.08</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2,957,104</w:t>
            </w:r>
          </w:p>
        </w:tc>
        <w:tc>
          <w:tcPr>
            <w:tcW w:w="14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20"/>
              <w:spacing w:after="0" w:line="324" w:lineRule="exact"/>
              <w:rPr>
                <w:sz w:val="20"/>
                <w:szCs w:val="20"/>
                <w:color w:val="auto"/>
              </w:rPr>
            </w:pPr>
            <w:r>
              <w:rPr>
                <w:rFonts w:ascii="Arial" w:cs="Arial" w:eastAsia="Arial" w:hAnsi="Arial"/>
                <w:sz w:val="35"/>
                <w:szCs w:val="35"/>
                <w:color w:val="0000FF"/>
                <w:vertAlign w:val="subscript"/>
              </w:rPr>
              <w:t>I</w:t>
            </w:r>
            <w:r>
              <w:rPr>
                <w:rFonts w:ascii="Arial" w:cs="Arial" w:eastAsia="Arial" w:hAnsi="Arial"/>
                <w:sz w:val="11"/>
                <w:szCs w:val="11"/>
                <w:color w:val="008000"/>
              </w:rPr>
              <w:t>(1)(2)(3)(4)</w:t>
            </w:r>
          </w:p>
        </w:tc>
        <w:tc>
          <w:tcPr>
            <w:tcW w:w="860" w:type="dxa"/>
            <w:vAlign w:val="bottom"/>
            <w:tcBorders>
              <w:bottom w:val="single" w:sz="8" w:color="2C2C2C"/>
            </w:tcBorders>
            <w:gridSpan w:val="2"/>
          </w:tcPr>
          <w:p>
            <w:pPr>
              <w:spacing w:after="0" w:line="324" w:lineRule="exact"/>
              <w:rPr>
                <w:sz w:val="20"/>
                <w:szCs w:val="20"/>
                <w:color w:val="auto"/>
              </w:rPr>
            </w:pPr>
            <w:r>
              <w:rPr>
                <w:rFonts w:ascii="Arial" w:cs="Arial" w:eastAsia="Arial" w:hAnsi="Arial"/>
                <w:sz w:val="35"/>
                <w:szCs w:val="35"/>
                <w:color w:val="0000FF"/>
                <w:w w:val="88"/>
                <w:vertAlign w:val="subscript"/>
              </w:rPr>
              <w:t>See</w:t>
            </w:r>
            <w:r>
              <w:rPr>
                <w:rFonts w:ascii="Arial" w:cs="Arial" w:eastAsia="Arial" w:hAnsi="Arial"/>
                <w:sz w:val="11"/>
                <w:szCs w:val="11"/>
                <w:color w:val="008000"/>
                <w:w w:val="88"/>
              </w:rPr>
              <w:t>(1)(2)(3)(4)</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8"/>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320" w:type="dxa"/>
            <w:vAlign w:val="bottom"/>
            <w:gridSpan w:val="15"/>
          </w:tcPr>
          <w:p>
            <w:pPr>
              <w:ind w:left="2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5"/>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40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8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4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140" w:type="dxa"/>
            <w:vAlign w:val="bottom"/>
          </w:tcPr>
          <w:p>
            <w:pPr>
              <w:spacing w:after="0"/>
              <w:rPr>
                <w:sz w:val="11"/>
                <w:szCs w:val="11"/>
                <w:color w:val="auto"/>
              </w:rPr>
            </w:pPr>
          </w:p>
        </w:tc>
        <w:tc>
          <w:tcPr>
            <w:tcW w:w="8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8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40" w:type="dxa"/>
            <w:vAlign w:val="bottom"/>
            <w:gridSpan w:val="4"/>
          </w:tcPr>
          <w:p>
            <w:pPr>
              <w:ind w:left="20"/>
              <w:spacing w:after="0"/>
              <w:rPr>
                <w:sz w:val="20"/>
                <w:szCs w:val="20"/>
                <w:color w:val="auto"/>
              </w:rPr>
            </w:pPr>
            <w:r>
              <w:rPr>
                <w:rFonts w:ascii="Arial" w:cs="Arial" w:eastAsia="Arial" w:hAnsi="Arial"/>
                <w:sz w:val="12"/>
                <w:szCs w:val="12"/>
                <w:b w:val="1"/>
                <w:bCs w:val="1"/>
                <w:color w:val="auto"/>
              </w:rPr>
              <w:t>V</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62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MILLENNIUM MANAGEMENT LLC</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3"/>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4"/>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MILLENNIUM HOLDING GROUP LP</w:t>
              </w:r>
            </w:hyperlink>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56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(First)</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666 FIFTH AVE</w:t>
            </w:r>
          </w:p>
        </w:tc>
        <w:tc>
          <w:tcPr>
            <w:tcW w:w="1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0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tcPr>
          <w:p>
            <w:pPr>
              <w:ind w:left="20"/>
              <w:spacing w:after="0"/>
              <w:rPr>
                <w:sz w:val="20"/>
                <w:szCs w:val="20"/>
                <w:color w:val="auto"/>
              </w:rPr>
            </w:pPr>
            <w:r>
              <w:rPr>
                <w:rFonts w:ascii="Arial" w:cs="Arial" w:eastAsia="Arial" w:hAnsi="Arial"/>
                <w:sz w:val="18"/>
                <w:szCs w:val="18"/>
                <w:color w:val="0000FF"/>
              </w:rPr>
              <w:t>NY</w:t>
            </w:r>
          </w:p>
        </w:tc>
        <w:tc>
          <w:tcPr>
            <w:tcW w:w="300" w:type="dxa"/>
            <w:vAlign w:val="bottom"/>
          </w:tcPr>
          <w:p>
            <w:pPr>
              <w:spacing w:after="0"/>
              <w:rPr>
                <w:sz w:val="21"/>
                <w:szCs w:val="21"/>
                <w:color w:val="auto"/>
              </w:rPr>
            </w:pPr>
          </w:p>
        </w:tc>
        <w:tc>
          <w:tcPr>
            <w:tcW w:w="860" w:type="dxa"/>
            <w:vAlign w:val="bottom"/>
            <w:gridSpan w:val="4"/>
          </w:tcPr>
          <w:p>
            <w:pPr>
              <w:spacing w:after="0"/>
              <w:rPr>
                <w:sz w:val="20"/>
                <w:szCs w:val="20"/>
                <w:color w:val="auto"/>
              </w:rPr>
            </w:pPr>
            <w:r>
              <w:rPr>
                <w:rFonts w:ascii="Arial" w:cs="Arial" w:eastAsia="Arial" w:hAnsi="Arial"/>
                <w:sz w:val="18"/>
                <w:szCs w:val="18"/>
                <w:color w:val="0000FF"/>
                <w:w w:val="87"/>
              </w:rPr>
              <w:t>10103-0899</w:t>
            </w:r>
          </w:p>
        </w:tc>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gridSpan w:val="2"/>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4"/>
                <w:szCs w:val="14"/>
                <w:color w:val="auto"/>
              </w:rPr>
              <w:t>(State)</w:t>
            </w:r>
          </w:p>
        </w:tc>
        <w:tc>
          <w:tcPr>
            <w:tcW w:w="30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color w:val="auto"/>
              </w:rPr>
              <w:t>(Zip)</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21"/>
          <w:szCs w:val="21"/>
          <w:u w:val="single" w:color="auto"/>
          <w:color w:val="0000EE"/>
        </w:rPr>
      </w:pPr>
      <w:hyperlink r:id="rId15">
        <w:r>
          <w:rPr>
            <w:rFonts w:ascii="Arial" w:cs="Arial" w:eastAsia="Arial" w:hAnsi="Arial"/>
            <w:sz w:val="21"/>
            <w:szCs w:val="21"/>
            <w:u w:val="single" w:color="auto"/>
            <w:color w:val="0000EE"/>
          </w:rPr>
          <w:t>RIVERVIEW GROUP LLC</w:t>
        </w:r>
      </w:hyperlink>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0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666 FIFTH AVE</w:t>
            </w: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10103-0899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36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ENGLANDER ISRAEL A</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C/O MILLENNIUM MANAGEMENT LLC</w:t>
            </w:r>
          </w:p>
        </w:tc>
      </w:tr>
      <w:tr>
        <w:trPr>
          <w:trHeight w:val="270"/>
        </w:trPr>
        <w:tc>
          <w:tcPr>
            <w:tcW w:w="100" w:type="dxa"/>
            <w:vAlign w:val="bottom"/>
          </w:tcPr>
          <w:p>
            <w:pPr>
              <w:spacing w:after="0"/>
              <w:rPr>
                <w:sz w:val="23"/>
                <w:szCs w:val="23"/>
                <w:color w:val="auto"/>
              </w:rPr>
            </w:pPr>
          </w:p>
        </w:tc>
        <w:tc>
          <w:tcPr>
            <w:tcW w:w="2740" w:type="dxa"/>
            <w:vAlign w:val="bottom"/>
            <w:gridSpan w:val="3"/>
          </w:tcPr>
          <w:p>
            <w:pPr>
              <w:spacing w:after="0"/>
              <w:rPr>
                <w:sz w:val="20"/>
                <w:szCs w:val="20"/>
                <w:color w:val="auto"/>
              </w:rPr>
            </w:pPr>
            <w:r>
              <w:rPr>
                <w:rFonts w:ascii="Arial" w:cs="Arial" w:eastAsia="Arial" w:hAnsi="Arial"/>
                <w:sz w:val="18"/>
                <w:szCs w:val="18"/>
                <w:color w:val="0000FF"/>
              </w:rPr>
              <w:t>666 FIFTH AVENUE</w:t>
            </w: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NEW YORK</w:t>
            </w:r>
          </w:p>
        </w:tc>
        <w:tc>
          <w:tcPr>
            <w:tcW w:w="1420" w:type="dxa"/>
            <w:vAlign w:val="bottom"/>
            <w:gridSpan w:val="2"/>
          </w:tcPr>
          <w:p>
            <w:pPr>
              <w:ind w:left="14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10103</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420" w:type="dxa"/>
            <w:vAlign w:val="bottom"/>
            <w:gridSpan w:val="2"/>
          </w:tcPr>
          <w:p>
            <w:pPr>
              <w:ind w:left="14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980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98005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0"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transaction was effected by The Riverview Group LLC, a Delaware limited liability company ("Riverview"), which as of the date hereof directly holds 2,957,104 shares of Common Stock of StemCells, Inc. (the "Company") and warrants exercisable into 1,322,716 shares of Common Stock of the Company. Riverview is a wholly owned subsidiary of Millennium Holding Group, L.P., a Delaware limited partnership ("Holding"). Millennium Management, LLC, a Delaware limited liability company ("Millennium Management"), is the general partner of Holding and consequently has voting control and investment discretion over securities owned by Holding and by Riverview.</w:t>
      </w:r>
    </w:p>
    <w:p>
      <w:pPr>
        <w:spacing w:after="0" w:line="31" w:lineRule="exact"/>
        <w:rPr>
          <w:rFonts w:ascii="Arial" w:cs="Arial" w:eastAsia="Arial" w:hAnsi="Arial"/>
          <w:sz w:val="14"/>
          <w:szCs w:val="14"/>
          <w:color w:val="008000"/>
        </w:rPr>
      </w:pPr>
    </w:p>
    <w:p>
      <w:pPr>
        <w:ind w:left="20" w:right="6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Israel A. Englander ("Mr. Englander") is the sole managing member of Millennium Management. As a result, Mr. Englander may be considered the beneficial owner of any shares deemed to be beneficially owned by Millennium Management.</w:t>
      </w:r>
    </w:p>
    <w:p>
      <w:pPr>
        <w:spacing w:after="0" w:line="30" w:lineRule="exact"/>
        <w:rPr>
          <w:rFonts w:ascii="Arial" w:cs="Arial" w:eastAsia="Arial" w:hAnsi="Arial"/>
          <w:sz w:val="14"/>
          <w:szCs w:val="14"/>
          <w:color w:val="008000"/>
        </w:rPr>
      </w:pPr>
    </w:p>
    <w:p>
      <w:pPr>
        <w:ind w:left="20" w:right="4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Holding, Millennium Management and Mr. Englander disclaims any beneficial ownership of the shares owned by Riverview to the extent such beneficial ownership exceeds such person's pecuniary interest.</w:t>
      </w:r>
    </w:p>
    <w:p>
      <w:pPr>
        <w:spacing w:after="0" w:line="30" w:lineRule="exact"/>
        <w:rPr>
          <w:rFonts w:ascii="Arial" w:cs="Arial" w:eastAsia="Arial" w:hAnsi="Arial"/>
          <w:sz w:val="14"/>
          <w:szCs w:val="14"/>
          <w:color w:val="008000"/>
        </w:rPr>
      </w:pPr>
    </w:p>
    <w:p>
      <w:pPr>
        <w:ind w:left="20" w:right="100" w:firstLine="9"/>
        <w:spacing w:after="0" w:line="239"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Millennium Partners, L.P., a Cayman Islands limited partnership ("Partners"), is a limited partner of Holding. As a limited partner, Partners has no ability to control Holding. Therefore, as of the date of this filing, Partners may not be deemed a beneficial owner of the shares of the Company or a member of the above-listed group.</w:t>
      </w:r>
    </w:p>
    <w:p>
      <w:pPr>
        <w:sectPr>
          <w:pgSz w:w="11900" w:h="16838" w:orient="portrait"/>
          <w:cols w:equalWidth="0" w:num="1">
            <w:col w:w="11320"/>
          </w:cols>
          <w:pgMar w:left="260" w:top="179" w:right="319" w:bottom="144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7181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MANAGEMENT,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12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4128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Israel A. Englander,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78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37782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THE RIVERVIEW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668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2668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Terry Feeney,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988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1988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687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6870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MILLENNIUM 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54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54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GROUP L.P., By: Millennium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0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5001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Management, LLC, Gnl. Ptnr.,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20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By: /s/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153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1539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7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6301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2630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By: /s/ 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91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64" w:lineRule="exact"/>
        <w:rPr>
          <w:sz w:val="20"/>
          <w:szCs w:val="20"/>
          <w:color w:val="auto"/>
        </w:rPr>
      </w:pPr>
    </w:p>
    <w:p>
      <w:pPr>
        <w:spacing w:after="0"/>
        <w:rPr>
          <w:sz w:val="20"/>
          <w:szCs w:val="20"/>
          <w:color w:val="auto"/>
        </w:rPr>
      </w:pPr>
      <w:r>
        <w:rPr>
          <w:rFonts w:ascii="Arial" w:cs="Arial" w:eastAsia="Arial" w:hAnsi="Arial"/>
          <w:sz w:val="15"/>
          <w:szCs w:val="15"/>
          <w:color w:val="0000FF"/>
        </w:rPr>
        <w:t>01/13/2004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01/13/2004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5"/>
          <w:szCs w:val="15"/>
          <w:color w:val="0000FF"/>
        </w:rPr>
        <w:t>01/13/2004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color w:val="0000FF"/>
        </w:rPr>
        <w:t>01/13/2004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9080" w:space="60"/>
            <w:col w:w="2180"/>
          </w:cols>
          <w:pgMar w:left="260" w:top="179" w:right="319" w:bottom="1440" w:gutter="0" w:footer="0" w:header="0"/>
          <w:type w:val="continuous"/>
        </w:sectPr>
      </w:pPr>
    </w:p>
    <w:p>
      <w:pPr>
        <w:ind w:left="6840"/>
        <w:spacing w:after="0"/>
        <w:tabs>
          <w:tab w:leader="none" w:pos="912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0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7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12" Type="http://schemas.openxmlformats.org/officeDocument/2006/relationships/hyperlink" Target="http://www.sec.gov/cgi-bin/browse-edgar?action=getcompany&amp;CIK=0001273087" TargetMode="External"/><Relationship Id="rId13" Type="http://schemas.openxmlformats.org/officeDocument/2006/relationships/hyperlink" Target="http://www.sec.gov/cgi-bin/browse-edgar?action=getcompany&amp;CIK=0000883975" TargetMode="External"/><Relationship Id="rId14" Type="http://schemas.openxmlformats.org/officeDocument/2006/relationships/hyperlink" Target="http://www.sec.gov/cgi-bin/browse-edgar?action=getcompany&amp;CIK=0001273089" TargetMode="External"/><Relationship Id="rId15" Type="http://schemas.openxmlformats.org/officeDocument/2006/relationships/hyperlink" Target="http://www.sec.gov/cgi-bin/browse-edgar?action=getcompany&amp;CIK=0001273091" TargetMode="External"/><Relationship Id="rId16" Type="http://schemas.openxmlformats.org/officeDocument/2006/relationships/hyperlink" Target="http://www.sec.gov/cgi-bin/browse-edgar?action=getcompany&amp;CIK=00010174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2019-12-16T08:01:06Z</dcterms:created>
  <dcterms:modified xsi:type="dcterms:W3CDTF">2019-12-16T08:01:06Z</dcterms:modified>
</cp:coreProperties>
</file>