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 or 15(d)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STEMCELLS,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gridSpan w:val="2"/>
          </w:tcPr>
          <w:p>
            <w:pPr>
              <w:jc w:val="center"/>
              <w:ind w:left="659"/>
              <w:spacing w:after="0"/>
              <w:rPr>
                <w:sz w:val="20"/>
                <w:szCs w:val="20"/>
                <w:color w:val="auto"/>
              </w:rPr>
            </w:pPr>
            <w:r>
              <w:rPr>
                <w:rFonts w:ascii="Arial" w:cs="Arial" w:eastAsia="Arial" w:hAnsi="Arial"/>
                <w:sz w:val="18"/>
                <w:szCs w:val="18"/>
                <w:b w:val="1"/>
                <w:bCs w:val="1"/>
                <w:color w:val="auto"/>
                <w:w w:val="87"/>
              </w:rPr>
              <w:t>0-19871</w:t>
            </w:r>
          </w:p>
        </w:tc>
        <w:tc>
          <w:tcPr>
            <w:tcW w:w="760" w:type="dxa"/>
            <w:vAlign w:val="bottom"/>
          </w:tcPr>
          <w:p>
            <w:pPr>
              <w:spacing w:after="0"/>
              <w:rPr>
                <w:sz w:val="19"/>
                <w:szCs w:val="19"/>
                <w:color w:val="auto"/>
              </w:rPr>
            </w:pPr>
          </w:p>
        </w:tc>
        <w:tc>
          <w:tcPr>
            <w:tcW w:w="3460" w:type="dxa"/>
            <w:vAlign w:val="bottom"/>
          </w:tcPr>
          <w:p>
            <w:pPr>
              <w:jc w:val="right"/>
              <w:ind w:right="1202"/>
              <w:spacing w:after="0"/>
              <w:rPr>
                <w:sz w:val="20"/>
                <w:szCs w:val="20"/>
                <w:color w:val="auto"/>
              </w:rPr>
            </w:pPr>
            <w:r>
              <w:rPr>
                <w:rFonts w:ascii="Arial" w:cs="Arial" w:eastAsia="Arial" w:hAnsi="Arial"/>
                <w:sz w:val="18"/>
                <w:szCs w:val="18"/>
                <w:b w:val="1"/>
                <w:bCs w:val="1"/>
                <w:color w:val="auto"/>
              </w:rPr>
              <w:t>94-3078125</w:t>
            </w:r>
          </w:p>
        </w:tc>
      </w:tr>
      <w:tr>
        <w:trPr>
          <w:trHeight w:val="172"/>
        </w:trPr>
        <w:tc>
          <w:tcPr>
            <w:tcW w:w="3520" w:type="dxa"/>
            <w:vAlign w:val="bottom"/>
          </w:tcPr>
          <w:p>
            <w:pPr>
              <w:jc w:val="center"/>
              <w:ind w:right="2"/>
              <w:spacing w:after="0"/>
              <w:rPr>
                <w:sz w:val="20"/>
                <w:szCs w:val="20"/>
                <w:color w:val="auto"/>
              </w:rPr>
            </w:pPr>
            <w:r>
              <w:rPr>
                <w:rFonts w:ascii="Arial" w:cs="Arial" w:eastAsia="Arial" w:hAnsi="Arial"/>
                <w:sz w:val="14"/>
                <w:szCs w:val="14"/>
                <w:i w:val="1"/>
                <w:iCs w:val="1"/>
                <w:color w:val="auto"/>
                <w:w w:val="90"/>
              </w:rPr>
              <w:t>(State or other jurisdiction of incorporation)</w:t>
            </w:r>
          </w:p>
        </w:tc>
        <w:tc>
          <w:tcPr>
            <w:tcW w:w="700" w:type="dxa"/>
            <w:vAlign w:val="bottom"/>
          </w:tcPr>
          <w:p>
            <w:pPr>
              <w:spacing w:after="0"/>
              <w:rPr>
                <w:sz w:val="14"/>
                <w:szCs w:val="14"/>
                <w:color w:val="auto"/>
              </w:rPr>
            </w:pPr>
          </w:p>
        </w:tc>
        <w:tc>
          <w:tcPr>
            <w:tcW w:w="3740" w:type="dxa"/>
            <w:vAlign w:val="bottom"/>
            <w:gridSpan w:val="2"/>
          </w:tcPr>
          <w:p>
            <w:pPr>
              <w:jc w:val="center"/>
              <w:ind w:right="740"/>
              <w:spacing w:after="0"/>
              <w:rPr>
                <w:sz w:val="20"/>
                <w:szCs w:val="20"/>
                <w:color w:val="auto"/>
              </w:rPr>
            </w:pPr>
            <w:r>
              <w:rPr>
                <w:rFonts w:ascii="Arial" w:cs="Arial" w:eastAsia="Arial" w:hAnsi="Arial"/>
                <w:sz w:val="14"/>
                <w:szCs w:val="14"/>
                <w:i w:val="1"/>
                <w:iCs w:val="1"/>
                <w:color w:val="auto"/>
                <w:w w:val="88"/>
              </w:rPr>
              <w:t>(Commission File Number)</w:t>
            </w:r>
          </w:p>
        </w:tc>
        <w:tc>
          <w:tcPr>
            <w:tcW w:w="3460" w:type="dxa"/>
            <w:vAlign w:val="bottom"/>
          </w:tcPr>
          <w:p>
            <w:pPr>
              <w:jc w:val="center"/>
              <w:spacing w:after="0"/>
              <w:rPr>
                <w:sz w:val="20"/>
                <w:szCs w:val="20"/>
                <w:color w:val="auto"/>
              </w:rPr>
            </w:pPr>
            <w:r>
              <w:rPr>
                <w:rFonts w:ascii="Arial" w:cs="Arial" w:eastAsia="Arial" w:hAnsi="Arial"/>
                <w:sz w:val="14"/>
                <w:szCs w:val="14"/>
                <w:i w:val="1"/>
                <w:iCs w:val="1"/>
                <w:color w:val="auto"/>
                <w:w w:val="89"/>
              </w:rPr>
              <w:t>(I.R.S. Employer Identification Number)</w:t>
            </w:r>
          </w:p>
        </w:tc>
      </w:tr>
      <w:tr>
        <w:trPr>
          <w:trHeight w:val="499"/>
        </w:trPr>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0"/>
              </w:rPr>
              <w:t>3155 Porter Drive</w:t>
            </w:r>
          </w:p>
        </w:tc>
        <w:tc>
          <w:tcPr>
            <w:tcW w:w="3460" w:type="dxa"/>
            <w:vAlign w:val="bottom"/>
          </w:tcPr>
          <w:p>
            <w:pPr>
              <w:spacing w:after="0"/>
              <w:rPr>
                <w:sz w:val="24"/>
                <w:szCs w:val="24"/>
                <w:color w:val="auto"/>
              </w:rPr>
            </w:pPr>
          </w:p>
        </w:tc>
      </w:tr>
      <w:tr>
        <w:trPr>
          <w:trHeight w:val="220"/>
        </w:trPr>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0"/>
              </w:rPr>
              <w:t>Palo Alto, California 94304</w:t>
            </w:r>
          </w:p>
        </w:tc>
        <w:tc>
          <w:tcPr>
            <w:tcW w:w="3460" w:type="dxa"/>
            <w:vAlign w:val="bottom"/>
          </w:tcPr>
          <w:p>
            <w:pPr>
              <w:spacing w:after="0"/>
              <w:rPr>
                <w:sz w:val="19"/>
                <w:szCs w:val="19"/>
                <w:color w:val="auto"/>
              </w:rPr>
            </w:pPr>
          </w:p>
        </w:tc>
      </w:tr>
      <w:tr>
        <w:trPr>
          <w:trHeight w:val="172"/>
        </w:trPr>
        <w:tc>
          <w:tcPr>
            <w:tcW w:w="3520" w:type="dxa"/>
            <w:vAlign w:val="bottom"/>
          </w:tcPr>
          <w:p>
            <w:pPr>
              <w:spacing w:after="0"/>
              <w:rPr>
                <w:sz w:val="14"/>
                <w:szCs w:val="14"/>
                <w:color w:val="auto"/>
              </w:rPr>
            </w:pPr>
          </w:p>
        </w:tc>
        <w:tc>
          <w:tcPr>
            <w:tcW w:w="444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88"/>
              </w:rPr>
              <w:t>(Address, of principal executive offices, including zip code)</w:t>
            </w:r>
          </w:p>
        </w:tc>
        <w:tc>
          <w:tcPr>
            <w:tcW w:w="3460" w:type="dxa"/>
            <w:vAlign w:val="bottom"/>
          </w:tcPr>
          <w:p>
            <w:pPr>
              <w:spacing w:after="0"/>
              <w:rPr>
                <w:sz w:val="14"/>
                <w:szCs w:val="14"/>
                <w:color w:val="auto"/>
              </w:rPr>
            </w:pPr>
          </w:p>
        </w:tc>
      </w:tr>
      <w:tr>
        <w:trPr>
          <w:trHeight w:val="435"/>
        </w:trPr>
        <w:tc>
          <w:tcPr>
            <w:tcW w:w="3520" w:type="dxa"/>
            <w:vAlign w:val="bottom"/>
          </w:tcPr>
          <w:p>
            <w:pPr>
              <w:spacing w:after="0"/>
              <w:rPr>
                <w:sz w:val="24"/>
                <w:szCs w:val="24"/>
                <w:color w:val="auto"/>
              </w:rPr>
            </w:pPr>
          </w:p>
        </w:tc>
        <w:tc>
          <w:tcPr>
            <w:tcW w:w="3680" w:type="dxa"/>
            <w:vAlign w:val="bottom"/>
            <w:gridSpan w:val="2"/>
          </w:tcPr>
          <w:p>
            <w:pPr>
              <w:jc w:val="center"/>
              <w:ind w:left="619"/>
              <w:spacing w:after="0"/>
              <w:rPr>
                <w:sz w:val="20"/>
                <w:szCs w:val="20"/>
                <w:color w:val="auto"/>
              </w:rPr>
            </w:pPr>
            <w:r>
              <w:rPr>
                <w:rFonts w:ascii="Arial" w:cs="Arial" w:eastAsia="Arial" w:hAnsi="Arial"/>
                <w:sz w:val="18"/>
                <w:szCs w:val="18"/>
                <w:b w:val="1"/>
                <w:bCs w:val="1"/>
                <w:color w:val="auto"/>
                <w:w w:val="89"/>
              </w:rPr>
              <w:t>(650) 475-3100</w:t>
            </w: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72"/>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40" w:type="dxa"/>
            <w:vAlign w:val="bottom"/>
            <w:gridSpan w:val="2"/>
          </w:tcPr>
          <w:p>
            <w:pPr>
              <w:jc w:val="center"/>
              <w:ind w:right="740"/>
              <w:spacing w:after="0"/>
              <w:rPr>
                <w:sz w:val="20"/>
                <w:szCs w:val="20"/>
                <w:color w:val="auto"/>
              </w:rPr>
            </w:pPr>
            <w:r>
              <w:rPr>
                <w:rFonts w:ascii="Arial" w:cs="Arial" w:eastAsia="Arial" w:hAnsi="Arial"/>
                <w:sz w:val="14"/>
                <w:szCs w:val="14"/>
                <w:i w:val="1"/>
                <w:iCs w:val="1"/>
                <w:color w:val="auto"/>
                <w:w w:val="87"/>
              </w:rPr>
              <w:t>(Registrant’s Telephone number including area code)</w:t>
            </w:r>
          </w:p>
        </w:tc>
        <w:tc>
          <w:tcPr>
            <w:tcW w:w="3460" w:type="dxa"/>
            <w:vAlign w:val="bottom"/>
          </w:tcPr>
          <w:p>
            <w:pPr>
              <w:spacing w:after="0"/>
              <w:rPr>
                <w:sz w:val="14"/>
                <w:szCs w:val="14"/>
                <w:color w:val="auto"/>
              </w:rPr>
            </w:pPr>
          </w:p>
        </w:tc>
      </w:tr>
      <w:tr>
        <w:trPr>
          <w:trHeight w:val="203"/>
        </w:trPr>
        <w:tc>
          <w:tcPr>
            <w:tcW w:w="3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tcBorders>
              <w:bottom w:val="single" w:sz="8" w:color="808080"/>
            </w:tcBorders>
          </w:tcPr>
          <w:p>
            <w:pPr>
              <w:spacing w:after="0"/>
              <w:rPr>
                <w:sz w:val="17"/>
                <w:szCs w:val="17"/>
                <w:color w:val="auto"/>
              </w:rPr>
            </w:pPr>
          </w:p>
        </w:tc>
        <w:tc>
          <w:tcPr>
            <w:tcW w:w="76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166"/>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61"/>
        </w:trPr>
        <w:tc>
          <w:tcPr>
            <w:tcW w:w="35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r>
      <w:tr>
        <w:trPr>
          <w:trHeight w:val="223"/>
        </w:trPr>
        <w:tc>
          <w:tcPr>
            <w:tcW w:w="35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 dated December 20,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StemCells, Inc. (the “Company”) reported that the Nasdaq Stock Market has approved its application to transfer the listing of its common stock from the National Market to the SmallCap Market, effective December 23, 2002 at the opening of business. A copy of the Company’s press release announcing the approval is attached as Exhibit 99.1 to this Report and incorporated herein by this reference.</w:t>
      </w:r>
    </w:p>
    <w:p>
      <w:pPr>
        <w:spacing w:after="0" w:line="1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STEMCELLS, INC</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December 20, 2002</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20, 2002</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3794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9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StemCells, Inc. (Ticker: STEM, Exchange: NASDAQ)</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News Release—20-December-2002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Moves to Nasdaq SmallCap Market</w:t>
      </w:r>
    </w:p>
    <w:p>
      <w:pPr>
        <w:spacing w:after="0" w:line="231"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PALO ALTO, Calif., December 20, 2002 – StemCells, Inc. (NASDAQ: STEM) today announced that the Nasdaq Stock Market has approved its application to transfer the listing of its common stock from the National Market to the SmallCap Market, effective December 23, 2002, at the opening of business. The Company’s stock will continue to trade under its current symbol, STEM.</w:t>
      </w:r>
    </w:p>
    <w:p>
      <w:pPr>
        <w:spacing w:after="0" w:line="194" w:lineRule="exact"/>
        <w:rPr>
          <w:sz w:val="20"/>
          <w:szCs w:val="20"/>
          <w:color w:val="auto"/>
        </w:rPr>
      </w:pPr>
    </w:p>
    <w:p>
      <w:pPr>
        <w:ind w:right="80" w:firstLine="216"/>
        <w:spacing w:after="0" w:line="259" w:lineRule="auto"/>
        <w:rPr>
          <w:sz w:val="20"/>
          <w:szCs w:val="20"/>
          <w:color w:val="auto"/>
        </w:rPr>
      </w:pPr>
      <w:r>
        <w:rPr>
          <w:rFonts w:ascii="Arial" w:cs="Arial" w:eastAsia="Arial" w:hAnsi="Arial"/>
          <w:sz w:val="18"/>
          <w:szCs w:val="18"/>
          <w:color w:val="auto"/>
        </w:rPr>
        <w:t>The Company applied to transfer to the Nasdaq SmallCap Market because it does not now comply with the National Market’s listing requirements. “Our election to transfer to the Nasdaq SmallCap Market serves the interests of our shareholders by continuing our listing on a Nasdaq market without interfering with how our stock is traded,” said Martin McGlynn, President and CEO of StemCells, Inc.</w:t>
      </w:r>
    </w:p>
    <w:p>
      <w:pPr>
        <w:spacing w:after="0" w:line="194"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StemCells, Inc. is a biotechnology company focused on the discovery, development and commercialization of stem cell-based therapies to treat diseases of the central nervous system, liver and pancreas. The Company’s stem cell programs seek to repair or repopulate neural or other tissue that has been damaged or lost as a result of disease or injury.</w:t>
      </w:r>
    </w:p>
    <w:p>
      <w:pPr>
        <w:spacing w:after="0" w:line="194" w:lineRule="exact"/>
        <w:rPr>
          <w:sz w:val="20"/>
          <w:szCs w:val="20"/>
          <w:color w:val="auto"/>
        </w:rPr>
      </w:pPr>
    </w:p>
    <w:p>
      <w:pPr>
        <w:ind w:right="60" w:firstLine="220"/>
        <w:spacing w:after="0" w:line="287" w:lineRule="auto"/>
        <w:rPr>
          <w:sz w:val="20"/>
          <w:szCs w:val="20"/>
          <w:color w:val="auto"/>
        </w:rPr>
      </w:pPr>
      <w:r>
        <w:rPr>
          <w:rFonts w:ascii="Arial" w:cs="Arial" w:eastAsia="Arial" w:hAnsi="Arial"/>
          <w:sz w:val="16"/>
          <w:szCs w:val="16"/>
          <w:i w:val="1"/>
          <w:iCs w:val="1"/>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McGlynn, 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650-475-3100, ext 108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BMC Communications Group (media)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212-477-9007, ext. 17</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2019-12-13T21:59:12Z</dcterms:created>
  <dcterms:modified xsi:type="dcterms:W3CDTF">2019-12-13T21:59:12Z</dcterms:modified>
</cp:coreProperties>
</file>