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 - 102)</w:t>
      </w:r>
    </w:p>
    <w:p>
      <w:pPr>
        <w:spacing w:after="0" w:line="202" w:lineRule="exact"/>
        <w:rPr>
          <w:sz w:val="24"/>
          <w:szCs w:val="24"/>
          <w:color w:val="auto"/>
        </w:rPr>
      </w:pPr>
    </w:p>
    <w:p>
      <w:pPr>
        <w:ind w:left="540"/>
        <w:spacing w:after="0"/>
        <w:tabs>
          <w:tab w:leader="none" w:pos="4940" w:val="left"/>
          <w:tab w:leader="none" w:pos="5680" w:val="left"/>
          <w:tab w:leader="none" w:pos="8100" w:val="left"/>
        </w:tabs>
        <w:rPr>
          <w:sz w:val="20"/>
          <w:szCs w:val="20"/>
          <w:color w:val="auto"/>
        </w:rPr>
      </w:pPr>
      <w:r>
        <w:rPr>
          <w:rFonts w:ascii="Courier New" w:cs="Courier New" w:eastAsia="Courier New" w:hAnsi="Courier New"/>
          <w:sz w:val="18"/>
          <w:szCs w:val="18"/>
          <w:color w:val="auto"/>
        </w:rPr>
        <w:t>INFORMATION TO BE INCLUDED IN STATEMENTS</w:t>
        <w:tab/>
        <w:t>FILED</w:t>
        <w:tab/>
        <w:t>PURSUANT TO 13d-1(b),</w:t>
      </w:r>
      <w:r>
        <w:rPr>
          <w:sz w:val="20"/>
          <w:szCs w:val="20"/>
          <w:color w:val="auto"/>
        </w:rPr>
        <w:tab/>
      </w:r>
      <w:r>
        <w:rPr>
          <w:rFonts w:ascii="Courier New" w:cs="Courier New" w:eastAsia="Courier New" w:hAnsi="Courier New"/>
          <w:sz w:val="16"/>
          <w:szCs w:val="16"/>
          <w:color w:val="auto"/>
        </w:rPr>
        <w:t>(c)</w:t>
      </w:r>
    </w:p>
    <w:p>
      <w:pPr>
        <w:spacing w:after="0" w:line="238" w:lineRule="auto"/>
        <w:rPr>
          <w:sz w:val="20"/>
          <w:szCs w:val="20"/>
          <w:color w:val="auto"/>
        </w:rPr>
      </w:pPr>
      <w:r>
        <w:rPr>
          <w:rFonts w:ascii="Courier New" w:cs="Courier New" w:eastAsia="Courier New" w:hAnsi="Courier New"/>
          <w:sz w:val="18"/>
          <w:szCs w:val="18"/>
          <w:color w:val="auto"/>
        </w:rPr>
        <w:t>AND (d) AND AMENDMENTS THERETO FILED PURSUANT TO 13d-2(b)</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Stephen M. Schultz, Esq., Kleinberg, Kaplan, Wolff &amp; Cohen, P.C., 551 Fifth Avenue, New York, New York 10176 Tel: (212) 986-6000 (Name, Address and Telephone Number of Person Authorized to Receive Notices and Communications)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960" w:hanging="952"/>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7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5 of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Millennium Partners, L.P.</w:t>
      </w:r>
    </w:p>
    <w:p>
      <w:pPr>
        <w:spacing w:after="0" w:line="20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900" w:hanging="944"/>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Cayman Islands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1900" w:right="7359" w:hanging="1892"/>
        <w:spacing w:after="0" w:line="558"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2,196,496</w:t>
      </w:r>
    </w:p>
    <w:p>
      <w:pPr>
        <w:sectPr>
          <w:pgSz w:w="11900" w:h="16865" w:orient="portrait"/>
          <w:cols w:equalWidth="0" w:num="1">
            <w:col w:w="10219"/>
          </w:cols>
          <w:pgMar w:left="240" w:top="447" w:right="1440" w:bottom="0" w:gutter="0" w:footer="0" w:header="0"/>
        </w:sectPr>
      </w:pPr>
    </w:p>
    <w:bookmarkStart w:id="1" w:name="page2"/>
    <w:bookmarkEnd w:id="1"/>
    <w:p>
      <w:pPr>
        <w:ind w:left="952" w:hanging="952"/>
        <w:spacing w:after="0"/>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89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892" w:right="6939" w:hanging="1892"/>
        <w:spacing w:after="0" w:line="536" w:lineRule="auto"/>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2,196,496</w:t>
      </w:r>
    </w:p>
    <w:p>
      <w:pPr>
        <w:ind w:left="1892" w:right="6739" w:hanging="1892"/>
        <w:spacing w:after="0" w:line="470"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1892" w:right="2939" w:hanging="1892"/>
        <w:spacing w:after="0" w:line="470"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2,196,496</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952"/>
        <w:spacing w:after="0"/>
        <w:tabs>
          <w:tab w:leader="none" w:pos="3772"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left="1892" w:right="409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9.99%</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PN</w:t>
      </w:r>
    </w:p>
    <w:p>
      <w:pPr>
        <w:spacing w:after="0" w:line="20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This statement is filed pursuant to Rule 13d-2(b) with respect to the shares of common stock (the "Common Stock") of StemCells, Inc. (the "Issuer") beneficially owned by Millennium Partners, L.P. as of February 22, 2001 and amends and supplements the Schedule 13G dated September 11, 2000 (the "Schedule 13G") previously filed by the reporting person in connection with its beneficial ownership of shares of Common Stock. Except as set forth herein, the Schedule 13G is unmodified.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jc w:val="both"/>
        <w:ind w:left="20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Subject to the Ownership Limitation (defined below), the reporting person owns or has the right to acquire a total of 2,260,993 shares of Common Stock, which includes: (i) 1,163,435 shares of Common Stock held outright; (ii) 101,587 shares of Common Stock currently issuable to the reporting person upon the exercise of warrants issued to it by the Company on August 3, 2000; (iii) 19,900 shares of Common Stock currently issuable to the reporting person upon the exercise of warrants issued to it by the Issuer on August 30, 2000; (iv) 461,894 of Common Stock currently issuable to the reporting person upon exercise of an option issued to the reporting person on August 3, 2000 to purchase up to $2 million of Common Stock based upon the market price of the Common Stock at the time of the exercise (as further described below) (the "Option"); (v) 50,808 shares of Common Stock issuable to the reporting person upon the exercise of warrants issuable to it by the Issuer upon the reporting person's exercise of the Option; and (vi) 463,369 shares of Common Stock issuable to the reporting person upon exercise of an adjustment warrant issued to it by the Issuer.</w:t>
      </w:r>
    </w:p>
    <w:p>
      <w:pPr>
        <w:spacing w:after="0" w:line="200" w:lineRule="exact"/>
        <w:rPr>
          <w:rFonts w:ascii="Courier New" w:cs="Courier New" w:eastAsia="Courier New" w:hAnsi="Courier New"/>
          <w:sz w:val="18"/>
          <w:szCs w:val="18"/>
          <w:color w:val="auto"/>
        </w:rPr>
      </w:pPr>
    </w:p>
    <w:p>
      <w:pPr>
        <w:spacing w:after="0" w:line="397" w:lineRule="exact"/>
        <w:rPr>
          <w:rFonts w:ascii="Courier New" w:cs="Courier New" w:eastAsia="Courier New" w:hAnsi="Courier New"/>
          <w:sz w:val="18"/>
          <w:szCs w:val="18"/>
          <w:color w:val="auto"/>
        </w:rPr>
      </w:pPr>
    </w:p>
    <w:p>
      <w:pPr>
        <w:jc w:val="both"/>
        <w:ind w:left="200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Rule 13d-4 under the Securities Exchange Act of 1934, as amended, because the number of shares of Common Stock into which the reporting person's warrants, adjustment warrants and option are convertible or exercisable, as applicable, are limited, pursuant to the terms of such instruments, to that number of shares of Common Stock which would result in the reporting person having aggregate beneficial ownership of 9.99% of the total issued and outstanding shares of Common Stock (the "Ownership Limitation"), the reporting person disclaims beneficial ownership of any and all shares of Common Stock that would cause the reporting person's aggregate beneficial ownership to exceed the Ownership Limitation.</w:t>
      </w:r>
    </w:p>
    <w:p>
      <w:pPr>
        <w:spacing w:after="0" w:line="207" w:lineRule="exact"/>
        <w:rPr>
          <w:rFonts w:ascii="Courier New" w:cs="Courier New" w:eastAsia="Courier New" w:hAnsi="Courier New"/>
          <w:sz w:val="18"/>
          <w:szCs w:val="18"/>
          <w:color w:val="auto"/>
        </w:rPr>
      </w:pPr>
    </w:p>
    <w:p>
      <w:pPr>
        <w:jc w:val="both"/>
        <w:ind w:left="20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Therefore, in accordance with the Ownership Limitation, the reporting person, based upon 20,953,887 shares of common stock outstanding, beneficially owns an aggregate of 2,196,496 shares of Common Stock, and disclaims beneficial ownership of 64,497 shares of Common Stock.</w:t>
      </w:r>
    </w:p>
    <w:p>
      <w:pPr>
        <w:spacing w:after="0" w:line="203"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Limitation</w:t>
      </w:r>
    </w:p>
    <w:p>
      <w:pPr>
        <w:spacing w:after="0" w:line="201"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jc w:val="both"/>
        <w:ind w:left="200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(based 20,953,887 shares of Common Stock outstanding as reported in the Issuer's Amended Registration Statement on Form S-1 dated January 31, 2001)</w:t>
      </w:r>
    </w:p>
    <w:p>
      <w:pPr>
        <w:spacing w:after="0" w:line="203"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2,196,496 shares of Common Stock.</w:t>
      </w:r>
    </w:p>
    <w:p>
      <w:pPr>
        <w:spacing w:after="0" w:line="207" w:lineRule="exact"/>
        <w:rPr>
          <w:sz w:val="20"/>
          <w:szCs w:val="20"/>
          <w:color w:val="auto"/>
        </w:rPr>
      </w:pPr>
    </w:p>
    <w:p>
      <w:pPr>
        <w:ind w:left="2540" w:right="3259" w:hanging="530"/>
        <w:spacing w:after="0" w:line="470"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6"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10219"/>
          </w:cols>
          <w:pgMar w:left="240" w:top="1330" w:right="1440" w:bottom="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8"/>
          <w:szCs w:val="18"/>
          <w:color w:val="auto"/>
        </w:rPr>
        <w:t>2,196,496 shares of Common Stock.</w:t>
      </w:r>
    </w:p>
    <w:p>
      <w:pPr>
        <w:spacing w:after="0" w:line="207" w:lineRule="exact"/>
        <w:rPr>
          <w:sz w:val="20"/>
          <w:szCs w:val="20"/>
          <w:color w:val="auto"/>
        </w:rPr>
      </w:pPr>
    </w:p>
    <w:p>
      <w:pPr>
        <w:ind w:left="1900" w:right="3999" w:firstLine="4"/>
        <w:spacing w:after="0" w:line="235" w:lineRule="auto"/>
        <w:tabs>
          <w:tab w:leader="none" w:pos="2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23, 2001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Terry Feeney</w:t>
      </w:r>
    </w:p>
    <w:p>
      <w:pPr>
        <w:ind w:left="3800"/>
        <w:spacing w:after="0" w:line="238" w:lineRule="auto"/>
        <w:rPr>
          <w:sz w:val="20"/>
          <w:szCs w:val="20"/>
          <w:color w:val="auto"/>
        </w:rPr>
      </w:pPr>
      <w:r>
        <w:rPr>
          <w:rFonts w:ascii="Courier New" w:cs="Courier New" w:eastAsia="Courier New" w:hAnsi="Courier New"/>
          <w:sz w:val="18"/>
          <w:szCs w:val="18"/>
          <w:color w:val="auto"/>
        </w:rPr>
        <w:t>Terry Feeney</w:t>
      </w:r>
    </w:p>
    <w:p>
      <w:pPr>
        <w:ind w:left="3800"/>
        <w:spacing w:after="0"/>
        <w:rPr>
          <w:sz w:val="20"/>
          <w:szCs w:val="20"/>
          <w:color w:val="auto"/>
        </w:rPr>
      </w:pPr>
      <w:r>
        <w:rPr>
          <w:rFonts w:ascii="Courier New" w:cs="Courier New" w:eastAsia="Courier New" w:hAnsi="Courier New"/>
          <w:sz w:val="18"/>
          <w:szCs w:val="18"/>
          <w:color w:val="auto"/>
        </w:rPr>
        <w:t>Chief Administrative Officer</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1"/>
    </w:lvl>
    <w:lvl w:ilvl="1">
      <w:lvlJc w:val="left"/>
      <w:lvlText w:val="(%2)"/>
      <w:numFmt w:val="lowerLetter"/>
      <w:start w:val="9"/>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2019-12-12T00:46:26Z</dcterms:created>
  <dcterms:modified xsi:type="dcterms:W3CDTF">2019-12-12T00:46:26Z</dcterms:modified>
</cp:coreProperties>
</file>