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980" w:hanging="611"/>
        <w:spacing w:after="0"/>
        <w:tabs>
          <w:tab w:leader="none" w:pos="9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25" w:lineRule="exact"/>
        <w:rPr>
          <w:sz w:val="24"/>
          <w:szCs w:val="24"/>
          <w:color w:val="auto"/>
        </w:rPr>
      </w:pPr>
    </w:p>
    <w:p>
      <w:pPr>
        <w:ind w:left="980" w:right="1060" w:hanging="591"/>
        <w:spacing w:after="0" w:line="500" w:lineRule="auto"/>
        <w:tabs>
          <w:tab w:leader="none" w:pos="-239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 w:lineRule="exact"/>
        <w:rPr>
          <w:rFonts w:ascii="Arial" w:cs="Arial" w:eastAsia="Arial" w:hAnsi="Arial"/>
          <w:sz w:val="18"/>
          <w:szCs w:val="18"/>
          <w:b w:val="1"/>
          <w:bCs w:val="1"/>
          <w:color w:val="auto"/>
        </w:rPr>
      </w:pPr>
    </w:p>
    <w:p>
      <w:pPr>
        <w:ind w:left="4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 of Registrant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ind w:left="160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6"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746"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3"/>
          </w:tcPr>
          <w:p>
            <w:pPr>
              <w:ind w:left="200"/>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60" w:type="dxa"/>
            <w:vAlign w:val="bottom"/>
            <w:gridSpan w:val="3"/>
          </w:tcPr>
          <w:p>
            <w:pPr>
              <w:jc w:val="center"/>
              <w:ind w:right="1040"/>
              <w:spacing w:after="0"/>
              <w:rPr>
                <w:sz w:val="20"/>
                <w:szCs w:val="20"/>
                <w:color w:val="auto"/>
              </w:rPr>
            </w:pPr>
            <w:r>
              <w:rPr>
                <w:rFonts w:ascii="Arial" w:cs="Arial" w:eastAsia="Arial" w:hAnsi="Arial"/>
                <w:sz w:val="18"/>
                <w:szCs w:val="18"/>
                <w:color w:val="auto"/>
                <w:w w:val="91"/>
              </w:rPr>
              <w:t>Title of Each Class</w:t>
            </w:r>
          </w:p>
        </w:tc>
        <w:tc>
          <w:tcPr>
            <w:tcW w:w="2980" w:type="dxa"/>
            <w:vAlign w:val="bottom"/>
            <w:gridSpan w:val="2"/>
          </w:tcPr>
          <w:p>
            <w:pPr>
              <w:jc w:val="center"/>
              <w:ind w:right="102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40" w:gutter="0" w:footer="0" w:header="0"/>
          <w:type w:val="continuous"/>
        </w:sectPr>
      </w:pPr>
    </w:p>
    <w:p>
      <w:pPr>
        <w:spacing w:after="0" w:line="184"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0" w:lineRule="exact"/>
        <w:rPr>
          <w:sz w:val="24"/>
          <w:szCs w:val="24"/>
          <w:color w:val="auto"/>
        </w:rPr>
      </w:pPr>
    </w:p>
    <w:p>
      <w:pPr>
        <w:sectPr>
          <w:pgSz w:w="11900" w:h="16838" w:orient="portrait"/>
          <w:cols w:equalWidth="0" w:num="2">
            <w:col w:w="3560" w:space="720"/>
            <w:col w:w="6960"/>
          </w:cols>
          <w:pgMar w:left="320" w:top="746" w:right="339" w:bottom="1440" w:gutter="0" w:footer="0" w:header="0"/>
          <w:type w:val="continuous"/>
        </w:sectPr>
      </w:pPr>
    </w:p>
    <w:p>
      <w:pPr>
        <w:spacing w:after="0" w:line="37" w:lineRule="exact"/>
        <w:rPr>
          <w:sz w:val="24"/>
          <w:szCs w:val="24"/>
          <w:color w:val="auto"/>
        </w:rPr>
      </w:pPr>
    </w:p>
    <w:p>
      <w:pPr>
        <w:ind w:left="580"/>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3">
            <w:col w:w="3560" w:space="720"/>
            <w:col w:w="2780" w:space="720"/>
            <w:col w:w="3460"/>
          </w:cols>
          <w:pgMar w:left="320" w:top="746" w:right="339" w:bottom="1440" w:gutter="0" w:footer="0" w:header="0"/>
          <w:type w:val="continuous"/>
        </w:sectPr>
      </w:pPr>
    </w:p>
    <w:p>
      <w:pPr>
        <w:spacing w:after="0" w:line="37"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7,103,260 shares of Common Stock, $0.01 par value at August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20" w:type="dxa"/>
            <w:vAlign w:val="bottom"/>
          </w:tcPr>
          <w:p>
            <w:pPr>
              <w:ind w:left="3580"/>
              <w:spacing w:after="0"/>
              <w:rPr>
                <w:sz w:val="20"/>
                <w:szCs w:val="20"/>
                <w:color w:val="auto"/>
              </w:rPr>
            </w:pPr>
            <w:r>
              <w:rPr>
                <w:rFonts w:ascii="Arial" w:cs="Arial" w:eastAsia="Arial" w:hAnsi="Arial"/>
                <w:sz w:val="18"/>
                <w:szCs w:val="18"/>
                <w:b w:val="1"/>
                <w:bCs w:val="1"/>
                <w:color w:val="auto"/>
              </w:rPr>
              <w:t>MICROBOT MEDICAL INC. AND SUBSIDIARIES</w:t>
            </w:r>
          </w:p>
        </w:tc>
        <w:tc>
          <w:tcPr>
            <w:tcW w:w="1020" w:type="dxa"/>
            <w:vAlign w:val="bottom"/>
          </w:tcPr>
          <w:p>
            <w:pPr>
              <w:spacing w:after="0"/>
              <w:rPr>
                <w:sz w:val="20"/>
                <w:szCs w:val="20"/>
                <w:color w:val="auto"/>
              </w:rPr>
            </w:pPr>
          </w:p>
        </w:tc>
      </w:tr>
      <w:tr>
        <w:trPr>
          <w:trHeight w:val="216"/>
        </w:trPr>
        <w:tc>
          <w:tcPr>
            <w:tcW w:w="10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1020" w:type="dxa"/>
            <w:vAlign w:val="bottom"/>
            <w:shd w:val="clear" w:color="auto" w:fill="CCEEFF"/>
          </w:tcPr>
          <w:p>
            <w:pPr>
              <w:spacing w:after="0"/>
              <w:rPr>
                <w:sz w:val="18"/>
                <w:szCs w:val="18"/>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Item 1 - Financial Statements</w:t>
            </w:r>
          </w:p>
        </w:tc>
        <w:tc>
          <w:tcPr>
            <w:tcW w:w="1020" w:type="dxa"/>
            <w:vAlign w:val="bottom"/>
          </w:tcPr>
          <w:p>
            <w:pPr>
              <w:spacing w:after="0"/>
              <w:rPr>
                <w:sz w:val="18"/>
                <w:szCs w:val="18"/>
                <w:color w:val="auto"/>
              </w:rPr>
            </w:pPr>
          </w:p>
        </w:tc>
      </w:tr>
      <w:tr>
        <w:trPr>
          <w:trHeight w:val="216"/>
        </w:trPr>
        <w:tc>
          <w:tcPr>
            <w:tcW w:w="10220" w:type="dxa"/>
            <w:vAlign w:val="bottom"/>
            <w:shd w:val="clear" w:color="auto" w:fill="CCEEFF"/>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Interim Consolidated Balance Sheets as of June 30, 2020 (unaudited) and December 31, 2019 (audited)</w:t>
              </w:r>
            </w:hyperlink>
          </w:p>
        </w:tc>
        <w:tc>
          <w:tcPr>
            <w:tcW w:w="1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79"/>
              </w:rPr>
              <w:t>1</w:t>
            </w:r>
          </w:p>
        </w:tc>
      </w:tr>
      <w:tr>
        <w:trPr>
          <w:trHeight w:val="216"/>
        </w:trPr>
        <w:tc>
          <w:tcPr>
            <w:tcW w:w="1022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Interim Consolidated Statements of Operations for the Three and Six Months Ended June 30, 2020 and 2019 (unaudited)</w:t>
              </w:r>
            </w:hyperlink>
          </w:p>
        </w:tc>
        <w:tc>
          <w:tcPr>
            <w:tcW w:w="1020" w:type="dxa"/>
            <w:vAlign w:val="bottom"/>
          </w:tcPr>
          <w:p>
            <w:pPr>
              <w:jc w:val="center"/>
              <w:ind w:left="290"/>
              <w:spacing w:after="0"/>
              <w:rPr>
                <w:sz w:val="20"/>
                <w:szCs w:val="20"/>
                <w:color w:val="auto"/>
              </w:rPr>
            </w:pPr>
            <w:r>
              <w:rPr>
                <w:rFonts w:ascii="Arial" w:cs="Arial" w:eastAsia="Arial" w:hAnsi="Arial"/>
                <w:sz w:val="18"/>
                <w:szCs w:val="18"/>
                <w:color w:val="auto"/>
                <w:w w:val="79"/>
              </w:rPr>
              <w:t>2</w:t>
            </w:r>
          </w:p>
        </w:tc>
      </w:tr>
      <w:tr>
        <w:trPr>
          <w:trHeight w:val="216"/>
        </w:trPr>
        <w:tc>
          <w:tcPr>
            <w:tcW w:w="10220" w:type="dxa"/>
            <w:vAlign w:val="bottom"/>
            <w:shd w:val="clear" w:color="auto" w:fill="CCEEFF"/>
          </w:tcPr>
          <w:p>
            <w:pPr>
              <w:ind w:left="180"/>
              <w:spacing w:after="0"/>
              <w:rPr>
                <w:rFonts w:ascii="Arial" w:cs="Arial" w:eastAsia="Arial" w:hAnsi="Arial"/>
                <w:sz w:val="18"/>
                <w:szCs w:val="18"/>
                <w:u w:val="single" w:color="auto"/>
                <w:color w:val="0000EE"/>
                <w:w w:val="95"/>
              </w:rPr>
            </w:pPr>
            <w:hyperlink w:anchor="page5">
              <w:r>
                <w:rPr>
                  <w:rFonts w:ascii="Arial" w:cs="Arial" w:eastAsia="Arial" w:hAnsi="Arial"/>
                  <w:sz w:val="18"/>
                  <w:szCs w:val="18"/>
                  <w:u w:val="single" w:color="auto"/>
                  <w:color w:val="0000EE"/>
                  <w:w w:val="95"/>
                </w:rPr>
                <w:t>Interim Consolidated Statements of Comprehensive Loss for the Three and Six Months Ended June 30, 2020 and 2019 (unaudited)</w:t>
              </w:r>
            </w:hyperlink>
          </w:p>
        </w:tc>
        <w:tc>
          <w:tcPr>
            <w:tcW w:w="1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79"/>
              </w:rPr>
              <w:t>3</w:t>
            </w:r>
          </w:p>
        </w:tc>
      </w:tr>
      <w:tr>
        <w:trPr>
          <w:trHeight w:val="216"/>
        </w:trPr>
        <w:tc>
          <w:tcPr>
            <w:tcW w:w="10220" w:type="dxa"/>
            <w:vAlign w:val="bottom"/>
          </w:tcPr>
          <w:p>
            <w:pPr>
              <w:ind w:left="180"/>
              <w:spacing w:after="0"/>
              <w:rPr>
                <w:rFonts w:ascii="Arial" w:cs="Arial" w:eastAsia="Arial" w:hAnsi="Arial"/>
                <w:sz w:val="18"/>
                <w:szCs w:val="18"/>
                <w:u w:val="single" w:color="auto"/>
                <w:color w:val="0000EE"/>
                <w:w w:val="96"/>
              </w:rPr>
            </w:pPr>
            <w:hyperlink w:anchor="page6">
              <w:r>
                <w:rPr>
                  <w:rFonts w:ascii="Arial" w:cs="Arial" w:eastAsia="Arial" w:hAnsi="Arial"/>
                  <w:sz w:val="18"/>
                  <w:szCs w:val="18"/>
                  <w:u w:val="single" w:color="auto"/>
                  <w:color w:val="0000EE"/>
                  <w:w w:val="96"/>
                </w:rPr>
                <w:t>Interim Consolidated Statements of Shareholders’ Equity for the Three and Six Months Ended June 30, 2020 and 2019 (unaudited)</w:t>
              </w:r>
            </w:hyperlink>
          </w:p>
        </w:tc>
        <w:tc>
          <w:tcPr>
            <w:tcW w:w="1020" w:type="dxa"/>
            <w:vAlign w:val="bottom"/>
          </w:tcPr>
          <w:p>
            <w:pPr>
              <w:jc w:val="center"/>
              <w:ind w:left="290"/>
              <w:spacing w:after="0"/>
              <w:rPr>
                <w:sz w:val="20"/>
                <w:szCs w:val="20"/>
                <w:color w:val="auto"/>
              </w:rPr>
            </w:pPr>
            <w:r>
              <w:rPr>
                <w:rFonts w:ascii="Arial" w:cs="Arial" w:eastAsia="Arial" w:hAnsi="Arial"/>
                <w:sz w:val="18"/>
                <w:szCs w:val="18"/>
                <w:color w:val="auto"/>
                <w:w w:val="79"/>
              </w:rPr>
              <w:t>4</w:t>
            </w:r>
          </w:p>
        </w:tc>
      </w:tr>
      <w:tr>
        <w:trPr>
          <w:trHeight w:val="216"/>
        </w:trPr>
        <w:tc>
          <w:tcPr>
            <w:tcW w:w="10220" w:type="dxa"/>
            <w:vAlign w:val="bottom"/>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Interim Consolidated Statements of Cash Flows for the Six Months Ended June 30, 2020 and 2019 (unaudited)</w:t>
              </w:r>
            </w:hyperlink>
          </w:p>
        </w:tc>
        <w:tc>
          <w:tcPr>
            <w:tcW w:w="1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79"/>
              </w:rPr>
              <w:t>5</w:t>
            </w:r>
          </w:p>
        </w:tc>
      </w:tr>
      <w:tr>
        <w:trPr>
          <w:trHeight w:val="216"/>
        </w:trPr>
        <w:tc>
          <w:tcPr>
            <w:tcW w:w="1022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Interim Consolidated Financial Statements</w:t>
              </w:r>
            </w:hyperlink>
          </w:p>
        </w:tc>
        <w:tc>
          <w:tcPr>
            <w:tcW w:w="1020" w:type="dxa"/>
            <w:vAlign w:val="bottom"/>
          </w:tcPr>
          <w:p>
            <w:pPr>
              <w:jc w:val="center"/>
              <w:ind w:left="290"/>
              <w:spacing w:after="0"/>
              <w:rPr>
                <w:sz w:val="20"/>
                <w:szCs w:val="20"/>
                <w:color w:val="auto"/>
              </w:rPr>
            </w:pPr>
            <w:r>
              <w:rPr>
                <w:rFonts w:ascii="Arial" w:cs="Arial" w:eastAsia="Arial" w:hAnsi="Arial"/>
                <w:sz w:val="18"/>
                <w:szCs w:val="18"/>
                <w:color w:val="auto"/>
                <w:w w:val="79"/>
              </w:rPr>
              <w:t>6</w:t>
            </w:r>
          </w:p>
        </w:tc>
      </w:tr>
      <w:tr>
        <w:trPr>
          <w:trHeight w:val="216"/>
        </w:trPr>
        <w:tc>
          <w:tcPr>
            <w:tcW w:w="1022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2 - Management’s Discussion and Analysis of Financial Condition and Results of Operations</w:t>
              </w:r>
            </w:hyperlink>
          </w:p>
        </w:tc>
        <w:tc>
          <w:tcPr>
            <w:tcW w:w="1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18</w:t>
            </w:r>
          </w:p>
        </w:tc>
      </w:tr>
      <w:tr>
        <w:trPr>
          <w:trHeight w:val="216"/>
        </w:trPr>
        <w:tc>
          <w:tcPr>
            <w:tcW w:w="102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3 – Quantitative and Qualitative Disclosures About Market Risk</w:t>
              </w:r>
            </w:hyperlink>
          </w:p>
        </w:tc>
        <w:tc>
          <w:tcPr>
            <w:tcW w:w="1020" w:type="dxa"/>
            <w:vAlign w:val="bottom"/>
          </w:tcPr>
          <w:p>
            <w:pPr>
              <w:jc w:val="center"/>
              <w:ind w:left="270"/>
              <w:spacing w:after="0"/>
              <w:rPr>
                <w:sz w:val="20"/>
                <w:szCs w:val="20"/>
                <w:color w:val="auto"/>
              </w:rPr>
            </w:pPr>
            <w:r>
              <w:rPr>
                <w:rFonts w:ascii="Arial" w:cs="Arial" w:eastAsia="Arial" w:hAnsi="Arial"/>
                <w:sz w:val="18"/>
                <w:szCs w:val="18"/>
                <w:color w:val="auto"/>
                <w:w w:val="89"/>
              </w:rPr>
              <w:t>23</w:t>
            </w:r>
          </w:p>
        </w:tc>
      </w:tr>
      <w:tr>
        <w:trPr>
          <w:trHeight w:val="216"/>
        </w:trPr>
        <w:tc>
          <w:tcPr>
            <w:tcW w:w="1022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4 - Controls and Procedures</w:t>
              </w:r>
            </w:hyperlink>
          </w:p>
        </w:tc>
        <w:tc>
          <w:tcPr>
            <w:tcW w:w="1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24</w:t>
            </w:r>
          </w:p>
        </w:tc>
      </w:tr>
      <w:tr>
        <w:trPr>
          <w:trHeight w:val="216"/>
        </w:trPr>
        <w:tc>
          <w:tcPr>
            <w:tcW w:w="10220" w:type="dxa"/>
            <w:vAlign w:val="bottom"/>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Part II - Other Information</w:t>
              </w:r>
            </w:hyperlink>
          </w:p>
        </w:tc>
        <w:tc>
          <w:tcPr>
            <w:tcW w:w="1020" w:type="dxa"/>
            <w:vAlign w:val="bottom"/>
          </w:tcPr>
          <w:p>
            <w:pPr>
              <w:spacing w:after="0"/>
              <w:rPr>
                <w:sz w:val="18"/>
                <w:szCs w:val="18"/>
                <w:color w:val="auto"/>
              </w:rPr>
            </w:pPr>
          </w:p>
        </w:tc>
      </w:tr>
      <w:tr>
        <w:trPr>
          <w:trHeight w:val="216"/>
        </w:trPr>
        <w:tc>
          <w:tcPr>
            <w:tcW w:w="1022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1 - Legal Proceedings</w:t>
              </w:r>
            </w:hyperlink>
          </w:p>
        </w:tc>
        <w:tc>
          <w:tcPr>
            <w:tcW w:w="1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24</w:t>
            </w:r>
          </w:p>
        </w:tc>
      </w:tr>
      <w:tr>
        <w:trPr>
          <w:trHeight w:val="216"/>
        </w:trPr>
        <w:tc>
          <w:tcPr>
            <w:tcW w:w="1022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2 – Unregistered Sales of Equity Securities and Use of Proceeds</w:t>
              </w:r>
            </w:hyperlink>
          </w:p>
        </w:tc>
        <w:tc>
          <w:tcPr>
            <w:tcW w:w="1020" w:type="dxa"/>
            <w:vAlign w:val="bottom"/>
          </w:tcPr>
          <w:p>
            <w:pPr>
              <w:jc w:val="center"/>
              <w:ind w:left="270"/>
              <w:spacing w:after="0"/>
              <w:rPr>
                <w:sz w:val="20"/>
                <w:szCs w:val="20"/>
                <w:color w:val="auto"/>
              </w:rPr>
            </w:pPr>
            <w:r>
              <w:rPr>
                <w:rFonts w:ascii="Arial" w:cs="Arial" w:eastAsia="Arial" w:hAnsi="Arial"/>
                <w:sz w:val="18"/>
                <w:szCs w:val="18"/>
                <w:color w:val="auto"/>
                <w:w w:val="89"/>
              </w:rPr>
              <w:t>26</w:t>
            </w:r>
          </w:p>
        </w:tc>
      </w:tr>
      <w:tr>
        <w:trPr>
          <w:trHeight w:val="216"/>
        </w:trPr>
        <w:tc>
          <w:tcPr>
            <w:tcW w:w="1022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3 – Defaults Upon Senior Securities</w:t>
              </w:r>
            </w:hyperlink>
          </w:p>
        </w:tc>
        <w:tc>
          <w:tcPr>
            <w:tcW w:w="1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26</w:t>
            </w:r>
          </w:p>
        </w:tc>
      </w:tr>
      <w:tr>
        <w:trPr>
          <w:trHeight w:val="216"/>
        </w:trPr>
        <w:tc>
          <w:tcPr>
            <w:tcW w:w="1022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4 – Mine Safety Disclosures</w:t>
              </w:r>
            </w:hyperlink>
          </w:p>
        </w:tc>
        <w:tc>
          <w:tcPr>
            <w:tcW w:w="1020" w:type="dxa"/>
            <w:vAlign w:val="bottom"/>
          </w:tcPr>
          <w:p>
            <w:pPr>
              <w:jc w:val="center"/>
              <w:ind w:left="270"/>
              <w:spacing w:after="0"/>
              <w:rPr>
                <w:sz w:val="20"/>
                <w:szCs w:val="20"/>
                <w:color w:val="auto"/>
              </w:rPr>
            </w:pPr>
            <w:r>
              <w:rPr>
                <w:rFonts w:ascii="Arial" w:cs="Arial" w:eastAsia="Arial" w:hAnsi="Arial"/>
                <w:sz w:val="18"/>
                <w:szCs w:val="18"/>
                <w:color w:val="auto"/>
                <w:w w:val="89"/>
              </w:rPr>
              <w:t>26</w:t>
            </w:r>
          </w:p>
        </w:tc>
      </w:tr>
      <w:tr>
        <w:trPr>
          <w:trHeight w:val="216"/>
        </w:trPr>
        <w:tc>
          <w:tcPr>
            <w:tcW w:w="1022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5 - Other Information</w:t>
              </w:r>
            </w:hyperlink>
          </w:p>
        </w:tc>
        <w:tc>
          <w:tcPr>
            <w:tcW w:w="1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26</w:t>
            </w:r>
          </w:p>
        </w:tc>
      </w:tr>
      <w:tr>
        <w:trPr>
          <w:trHeight w:val="216"/>
        </w:trPr>
        <w:tc>
          <w:tcPr>
            <w:tcW w:w="1022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6 – Exhibits</w:t>
              </w:r>
            </w:hyperlink>
          </w:p>
        </w:tc>
        <w:tc>
          <w:tcPr>
            <w:tcW w:w="1020" w:type="dxa"/>
            <w:vAlign w:val="bottom"/>
          </w:tcPr>
          <w:p>
            <w:pPr>
              <w:jc w:val="center"/>
              <w:ind w:left="270"/>
              <w:spacing w:after="0"/>
              <w:rPr>
                <w:sz w:val="20"/>
                <w:szCs w:val="20"/>
                <w:color w:val="auto"/>
              </w:rPr>
            </w:pPr>
            <w:r>
              <w:rPr>
                <w:rFonts w:ascii="Arial" w:cs="Arial" w:eastAsia="Arial" w:hAnsi="Arial"/>
                <w:sz w:val="18"/>
                <w:szCs w:val="18"/>
                <w:color w:val="auto"/>
                <w:w w:val="89"/>
              </w:rPr>
              <w:t>26</w:t>
            </w:r>
          </w:p>
        </w:tc>
      </w:tr>
      <w:tr>
        <w:trPr>
          <w:trHeight w:val="216"/>
        </w:trPr>
        <w:tc>
          <w:tcPr>
            <w:tcW w:w="102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Signatures</w:t>
              </w:r>
            </w:hyperlink>
          </w:p>
        </w:tc>
        <w:tc>
          <w:tcPr>
            <w:tcW w:w="1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27</w:t>
            </w:r>
          </w:p>
        </w:tc>
      </w:tr>
      <w:tr>
        <w:trPr>
          <w:trHeight w:val="439"/>
        </w:trPr>
        <w:tc>
          <w:tcPr>
            <w:tcW w:w="10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1120"/>
              <w:spacing w:after="0"/>
              <w:rPr>
                <w:sz w:val="20"/>
                <w:szCs w:val="20"/>
                <w:color w:val="auto"/>
              </w:rPr>
            </w:pPr>
            <w:r>
              <w:rPr>
                <w:rFonts w:ascii="Arial" w:cs="Arial" w:eastAsia="Arial" w:hAnsi="Arial"/>
                <w:sz w:val="18"/>
                <w:szCs w:val="18"/>
                <w:color w:val="auto"/>
              </w:rPr>
              <w:t>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color w:val="auto"/>
                <w:w w:val="97"/>
              </w:rPr>
              <w:t>As of</w:t>
            </w:r>
          </w:p>
        </w:tc>
      </w:tr>
      <w:tr>
        <w:trPr>
          <w:trHeight w:val="237"/>
        </w:trPr>
        <w:tc>
          <w:tcPr>
            <w:tcW w:w="6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June 30, 2020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December 31, 2019</w:t>
            </w:r>
          </w:p>
        </w:tc>
      </w:tr>
      <w:tr>
        <w:trPr>
          <w:trHeight w:val="223"/>
        </w:trPr>
        <w:tc>
          <w:tcPr>
            <w:tcW w:w="6140" w:type="dxa"/>
            <w:vAlign w:val="bottom"/>
          </w:tcPr>
          <w:p>
            <w:pPr>
              <w:spacing w:after="0"/>
              <w:rPr>
                <w:sz w:val="19"/>
                <w:szCs w:val="19"/>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Notes</w:t>
            </w:r>
          </w:p>
        </w:tc>
        <w:tc>
          <w:tcPr>
            <w:tcW w:w="2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5"/>
              </w:rPr>
              <w:t>(Audited)</w:t>
            </w:r>
          </w:p>
        </w:tc>
        <w:tc>
          <w:tcPr>
            <w:tcW w:w="120" w:type="dxa"/>
            <w:vAlign w:val="bottom"/>
            <w:gridSpan w:val="2"/>
          </w:tcPr>
          <w:p>
            <w:pPr>
              <w:spacing w:after="0"/>
              <w:rPr>
                <w:sz w:val="19"/>
                <w:szCs w:val="19"/>
                <w:color w:val="auto"/>
              </w:rPr>
            </w:pPr>
          </w:p>
        </w:tc>
      </w:tr>
      <w:tr>
        <w:trPr>
          <w:trHeight w:val="216"/>
        </w:trPr>
        <w:tc>
          <w:tcPr>
            <w:tcW w:w="6140" w:type="dxa"/>
            <w:vAlign w:val="bottom"/>
            <w:tcBorders>
              <w:top w:val="single" w:sz="8" w:color="CCEEFF"/>
            </w:tcBorders>
            <w:shd w:val="clear" w:color="auto" w:fill="CCEEFF"/>
          </w:tcPr>
          <w:p>
            <w:pPr>
              <w:ind w:left="2640"/>
              <w:spacing w:after="0"/>
              <w:rPr>
                <w:sz w:val="20"/>
                <w:szCs w:val="20"/>
                <w:color w:val="auto"/>
              </w:rPr>
            </w:pPr>
            <w:r>
              <w:rPr>
                <w:rFonts w:ascii="Arial" w:cs="Arial" w:eastAsia="Arial" w:hAnsi="Arial"/>
                <w:sz w:val="18"/>
                <w:szCs w:val="18"/>
                <w:color w:val="auto"/>
              </w:rPr>
              <w:t>ASSETS</w:t>
            </w: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28,233</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28,771</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Marketable security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4,358</w:t>
            </w:r>
          </w:p>
        </w:tc>
        <w:tc>
          <w:tcPr>
            <w:tcW w:w="100" w:type="dxa"/>
            <w:vAlign w:val="bottom"/>
            <w:shd w:val="clear" w:color="auto" w:fill="CCEEFF"/>
          </w:tcPr>
          <w:p>
            <w:pPr>
              <w:spacing w:after="0"/>
              <w:rPr>
                <w:sz w:val="18"/>
                <w:szCs w:val="18"/>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r>
      <w:tr>
        <w:trPr>
          <w:trHeight w:val="216"/>
        </w:trPr>
        <w:tc>
          <w:tcPr>
            <w:tcW w:w="61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r>
      <w:tr>
        <w:trPr>
          <w:trHeight w:val="229"/>
        </w:trPr>
        <w:tc>
          <w:tcPr>
            <w:tcW w:w="6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LIABILITIES AND STOCKHOLDERS’ EQUITY</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payables</w:t>
            </w:r>
          </w:p>
        </w:tc>
        <w:tc>
          <w:tcPr>
            <w:tcW w:w="10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Provision for extinguishment dispute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r>
      <w:tr>
        <w:trPr>
          <w:trHeight w:val="216"/>
        </w:trPr>
        <w:tc>
          <w:tcPr>
            <w:tcW w:w="61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14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r>
      <w:tr>
        <w:trPr>
          <w:trHeight w:val="223"/>
        </w:trPr>
        <w:tc>
          <w:tcPr>
            <w:tcW w:w="6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$0.01 par value; 60,000,000 shares authorized as of June 30,</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2020 and December 31, 2019 7,103,260 and 7,185,628 shares issued and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June 30, 2020 and December 31, 2019</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67,489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69,954</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shares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(3,375)</w:t>
            </w: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(39,171)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(35,111)</w:t>
            </w:r>
          </w:p>
        </w:tc>
      </w:tr>
      <w:tr>
        <w:trPr>
          <w:trHeight w:val="236"/>
        </w:trPr>
        <w:tc>
          <w:tcPr>
            <w:tcW w:w="6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1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45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u w:val="single" w:color="auto"/>
          <w:color w:val="auto"/>
        </w:rPr>
        <w:t>Interim Consolidated Statements of Operations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6"/>
          </w:tcPr>
          <w:p>
            <w:pPr>
              <w:jc w:val="center"/>
              <w:ind w:right="481"/>
              <w:spacing w:after="0"/>
              <w:rPr>
                <w:sz w:val="20"/>
                <w:szCs w:val="20"/>
                <w:color w:val="auto"/>
              </w:rPr>
            </w:pPr>
            <w:r>
              <w:rPr>
                <w:rFonts w:ascii="Arial" w:cs="Arial" w:eastAsia="Arial" w:hAnsi="Arial"/>
                <w:sz w:val="18"/>
                <w:szCs w:val="18"/>
                <w:color w:val="auto"/>
                <w:w w:val="89"/>
              </w:rPr>
              <w:t>For the Three Months Ended</w:t>
            </w:r>
          </w:p>
        </w:tc>
        <w:tc>
          <w:tcPr>
            <w:tcW w:w="240" w:type="dxa"/>
            <w:vAlign w:val="bottom"/>
          </w:tcPr>
          <w:p>
            <w:pPr>
              <w:spacing w:after="0"/>
              <w:rPr>
                <w:sz w:val="18"/>
                <w:szCs w:val="18"/>
                <w:color w:val="auto"/>
              </w:rPr>
            </w:pPr>
          </w:p>
        </w:tc>
        <w:tc>
          <w:tcPr>
            <w:tcW w:w="2640" w:type="dxa"/>
            <w:vAlign w:val="bottom"/>
            <w:gridSpan w:val="6"/>
          </w:tcPr>
          <w:p>
            <w:pPr>
              <w:jc w:val="right"/>
              <w:ind w:right="501"/>
              <w:spacing w:after="0"/>
              <w:rPr>
                <w:sz w:val="20"/>
                <w:szCs w:val="20"/>
                <w:color w:val="auto"/>
              </w:rPr>
            </w:pPr>
            <w:r>
              <w:rPr>
                <w:rFonts w:ascii="Arial" w:cs="Arial" w:eastAsia="Arial" w:hAnsi="Arial"/>
                <w:sz w:val="18"/>
                <w:szCs w:val="18"/>
                <w:color w:val="auto"/>
                <w:w w:val="98"/>
              </w:rPr>
              <w:t>For the Six Months Ended</w:t>
            </w:r>
          </w:p>
        </w:tc>
      </w:tr>
      <w:tr>
        <w:trPr>
          <w:trHeight w:val="237"/>
        </w:trPr>
        <w:tc>
          <w:tcPr>
            <w:tcW w:w="5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6"/>
              </w:rPr>
              <w:t>June 30,</w:t>
            </w: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91"/>
              </w:rPr>
              <w:t>(Unaudited)</w:t>
            </w: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(Unaudited)</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669</w:t>
            </w:r>
          </w:p>
        </w:tc>
        <w:tc>
          <w:tcPr>
            <w:tcW w:w="4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1,360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8"/>
                <w:szCs w:val="18"/>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61"/>
              <w:spacing w:after="0"/>
              <w:rPr>
                <w:sz w:val="20"/>
                <w:szCs w:val="20"/>
                <w:color w:val="auto"/>
              </w:rPr>
            </w:pPr>
            <w:r>
              <w:rPr>
                <w:rFonts w:ascii="Arial" w:cs="Arial" w:eastAsia="Arial" w:hAnsi="Arial"/>
                <w:sz w:val="18"/>
                <w:szCs w:val="18"/>
                <w:color w:val="auto"/>
              </w:rPr>
              <w:t>804</w:t>
            </w:r>
          </w:p>
        </w:tc>
        <w:tc>
          <w:tcPr>
            <w:tcW w:w="24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2,097</w:t>
            </w:r>
          </w:p>
        </w:tc>
      </w:tr>
      <w:tr>
        <w:trPr>
          <w:trHeight w:val="216"/>
        </w:trPr>
        <w:tc>
          <w:tcPr>
            <w:tcW w:w="5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income (expenses), net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52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5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(0.26)</w:t>
            </w:r>
          </w:p>
        </w:tc>
        <w:tc>
          <w:tcPr>
            <w:tcW w:w="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1"/>
              <w:spacing w:after="0"/>
              <w:rPr>
                <w:sz w:val="20"/>
                <w:szCs w:val="20"/>
                <w:color w:val="auto"/>
              </w:rPr>
            </w:pPr>
            <w:r>
              <w:rPr>
                <w:rFonts w:ascii="Arial" w:cs="Arial" w:eastAsia="Arial" w:hAnsi="Arial"/>
                <w:sz w:val="18"/>
                <w:szCs w:val="18"/>
                <w:color w:val="auto"/>
              </w:rPr>
              <w:t>(0.36)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(0.57)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(0.83)</w:t>
            </w: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220" w:type="dxa"/>
            <w:vAlign w:val="bottom"/>
          </w:tcPr>
          <w:p>
            <w:pPr>
              <w:spacing w:after="0"/>
              <w:rPr>
                <w:sz w:val="21"/>
                <w:szCs w:val="21"/>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7,103,260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61"/>
              <w:spacing w:after="0"/>
              <w:rPr>
                <w:sz w:val="20"/>
                <w:szCs w:val="20"/>
                <w:color w:val="auto"/>
              </w:rPr>
            </w:pPr>
            <w:r>
              <w:rPr>
                <w:rFonts w:ascii="Arial" w:cs="Arial" w:eastAsia="Arial" w:hAnsi="Arial"/>
                <w:sz w:val="18"/>
                <w:szCs w:val="18"/>
                <w:color w:val="auto"/>
              </w:rPr>
              <w:t>4,307,666</w:t>
            </w:r>
          </w:p>
        </w:tc>
        <w:tc>
          <w:tcPr>
            <w:tcW w:w="240" w:type="dxa"/>
            <w:vAlign w:val="bottom"/>
          </w:tcPr>
          <w:p>
            <w:pPr>
              <w:spacing w:after="0"/>
              <w:rPr>
                <w:sz w:val="21"/>
                <w:szCs w:val="21"/>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7,128,752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4,197,566</w:t>
            </w:r>
          </w:p>
        </w:tc>
      </w:tr>
      <w:tr>
        <w:trPr>
          <w:trHeight w:val="20"/>
        </w:trPr>
        <w:tc>
          <w:tcPr>
            <w:tcW w:w="5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780" w:type="dxa"/>
            <w:vAlign w:val="bottom"/>
            <w:gridSpan w:val="11"/>
          </w:tcPr>
          <w:p>
            <w:pPr>
              <w:ind w:left="2280"/>
              <w:spacing w:after="0"/>
              <w:rPr>
                <w:sz w:val="20"/>
                <w:szCs w:val="20"/>
                <w:color w:val="auto"/>
              </w:rPr>
            </w:pPr>
            <w:r>
              <w:rPr>
                <w:rFonts w:ascii="Arial" w:cs="Arial" w:eastAsia="Arial" w:hAnsi="Arial"/>
                <w:sz w:val="18"/>
                <w:szCs w:val="18"/>
                <w:b w:val="1"/>
                <w:bCs w:val="1"/>
                <w:color w:val="auto"/>
                <w:w w:val="98"/>
              </w:rPr>
              <w:t>The accompanying notes are an integral part of these consolidated financial statements.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6"/>
          </w:tcPr>
          <w:p>
            <w:pPr>
              <w:jc w:val="center"/>
              <w:ind w:right="621"/>
              <w:spacing w:after="0"/>
              <w:rPr>
                <w:sz w:val="20"/>
                <w:szCs w:val="20"/>
                <w:color w:val="auto"/>
              </w:rPr>
            </w:pPr>
            <w:r>
              <w:rPr>
                <w:rFonts w:ascii="Arial" w:cs="Arial" w:eastAsia="Arial" w:hAnsi="Arial"/>
                <w:sz w:val="18"/>
                <w:szCs w:val="18"/>
                <w:color w:val="auto"/>
                <w:w w:val="90"/>
              </w:rPr>
              <w:t>For the Three Months Ended</w:t>
            </w:r>
          </w:p>
        </w:tc>
        <w:tc>
          <w:tcPr>
            <w:tcW w:w="260" w:type="dxa"/>
            <w:vAlign w:val="bottom"/>
          </w:tcPr>
          <w:p>
            <w:pPr>
              <w:spacing w:after="0"/>
              <w:rPr>
                <w:sz w:val="18"/>
                <w:szCs w:val="18"/>
                <w:color w:val="auto"/>
              </w:rPr>
            </w:pPr>
          </w:p>
        </w:tc>
        <w:tc>
          <w:tcPr>
            <w:tcW w:w="2740" w:type="dxa"/>
            <w:vAlign w:val="bottom"/>
            <w:gridSpan w:val="6"/>
          </w:tcPr>
          <w:p>
            <w:pPr>
              <w:jc w:val="right"/>
              <w:ind w:right="521"/>
              <w:spacing w:after="0"/>
              <w:rPr>
                <w:sz w:val="20"/>
                <w:szCs w:val="20"/>
                <w:color w:val="auto"/>
              </w:rPr>
            </w:pPr>
            <w:r>
              <w:rPr>
                <w:rFonts w:ascii="Arial" w:cs="Arial" w:eastAsia="Arial" w:hAnsi="Arial"/>
                <w:sz w:val="18"/>
                <w:szCs w:val="18"/>
                <w:color w:val="auto"/>
              </w:rPr>
              <w:t>For the Six Months Ended</w:t>
            </w:r>
          </w:p>
        </w:tc>
      </w:tr>
      <w:tr>
        <w:trPr>
          <w:trHeight w:val="237"/>
        </w:trPr>
        <w:tc>
          <w:tcPr>
            <w:tcW w:w="4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86"/>
              </w:rPr>
              <w:t>June 30,</w:t>
            </w:r>
          </w:p>
        </w:tc>
        <w:tc>
          <w:tcPr>
            <w:tcW w:w="9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center"/>
              <w:ind w:left="590"/>
              <w:spacing w:after="0"/>
              <w:rPr>
                <w:sz w:val="20"/>
                <w:szCs w:val="20"/>
                <w:color w:val="auto"/>
              </w:rPr>
            </w:pPr>
            <w:r>
              <w:rPr>
                <w:rFonts w:ascii="Arial" w:cs="Arial" w:eastAsia="Arial" w:hAnsi="Arial"/>
                <w:sz w:val="18"/>
                <w:szCs w:val="18"/>
                <w:color w:val="auto"/>
                <w:w w:val="91"/>
              </w:rPr>
              <w:t>(Unaudited)</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(Unaudited)</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(1,855)</w:t>
            </w:r>
          </w:p>
        </w:tc>
        <w:tc>
          <w:tcPr>
            <w:tcW w:w="5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(4,060)</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shd w:val="clear" w:color="auto" w:fill="CCEEFF"/>
          </w:tcPr>
          <w:p>
            <w:pPr>
              <w:spacing w:after="0"/>
              <w:rPr>
                <w:sz w:val="18"/>
                <w:szCs w:val="18"/>
                <w:color w:val="auto"/>
              </w:rPr>
            </w:pP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Net unrealized loss on available for sale security</w:t>
            </w:r>
          </w:p>
        </w:tc>
        <w:tc>
          <w:tcPr>
            <w:tcW w:w="26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420" w:type="dxa"/>
            <w:vAlign w:val="bottom"/>
            <w:tcBorders>
              <w:top w:val="single" w:sz="8" w:color="CCEEFF"/>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 less than 1 thousand.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000" w:type="dxa"/>
            <w:vAlign w:val="bottom"/>
            <w:gridSpan w:val="4"/>
            <w:vMerge w:val="restart"/>
          </w:tcPr>
          <w:p>
            <w:pPr>
              <w:jc w:val="right"/>
              <w:ind w:right="350"/>
              <w:spacing w:after="0"/>
              <w:rPr>
                <w:sz w:val="20"/>
                <w:szCs w:val="20"/>
                <w:color w:val="auto"/>
              </w:rPr>
            </w:pPr>
            <w:r>
              <w:rPr>
                <w:rFonts w:ascii="Arial" w:cs="Arial" w:eastAsia="Arial" w:hAnsi="Arial"/>
                <w:sz w:val="18"/>
                <w:szCs w:val="18"/>
                <w:color w:val="auto"/>
              </w:rPr>
              <w:t>Common Stock</w:t>
            </w:r>
          </w:p>
        </w:tc>
        <w:tc>
          <w:tcPr>
            <w:tcW w:w="220" w:type="dxa"/>
            <w:vAlign w:val="bottom"/>
            <w:vMerge w:val="restart"/>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Additional</w:t>
            </w:r>
          </w:p>
        </w:tc>
        <w:tc>
          <w:tcPr>
            <w:tcW w:w="1060" w:type="dxa"/>
            <w:vAlign w:val="bottom"/>
            <w:gridSpan w:val="3"/>
          </w:tcPr>
          <w:p>
            <w:pPr>
              <w:spacing w:after="0"/>
              <w:rPr>
                <w:sz w:val="20"/>
                <w:szCs w:val="20"/>
                <w:color w:val="auto"/>
              </w:rPr>
            </w:pPr>
            <w:r>
              <w:rPr>
                <w:rFonts w:ascii="Arial" w:cs="Arial" w:eastAsia="Arial" w:hAnsi="Arial"/>
                <w:sz w:val="18"/>
                <w:szCs w:val="18"/>
                <w:color w:val="auto"/>
              </w:rPr>
              <w:t>Cancellation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1"/>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2000" w:type="dxa"/>
            <w:vAlign w:val="bottom"/>
            <w:tcBorders>
              <w:bottom w:val="single" w:sz="8" w:color="auto"/>
            </w:tcBorders>
            <w:gridSpan w:val="4"/>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Paid-In</w:t>
            </w:r>
          </w:p>
        </w:tc>
        <w:tc>
          <w:tcPr>
            <w:tcW w:w="1060" w:type="dxa"/>
            <w:vAlign w:val="bottom"/>
            <w:gridSpan w:val="3"/>
          </w:tcPr>
          <w:p>
            <w:pPr>
              <w:ind w:left="40"/>
              <w:spacing w:after="0"/>
              <w:rPr>
                <w:sz w:val="20"/>
                <w:szCs w:val="20"/>
                <w:color w:val="auto"/>
              </w:rPr>
            </w:pPr>
            <w:r>
              <w:rPr>
                <w:rFonts w:ascii="Arial" w:cs="Arial" w:eastAsia="Arial" w:hAnsi="Arial"/>
                <w:sz w:val="18"/>
                <w:szCs w:val="18"/>
                <w:color w:val="auto"/>
              </w:rPr>
              <w:t>of Treasury</w:t>
            </w:r>
          </w:p>
        </w:tc>
        <w:tc>
          <w:tcPr>
            <w:tcW w:w="1400" w:type="dxa"/>
            <w:vAlign w:val="bottom"/>
            <w:gridSpan w:val="4"/>
          </w:tcPr>
          <w:p>
            <w:pPr>
              <w:ind w:left="60"/>
              <w:spacing w:after="0"/>
              <w:rPr>
                <w:sz w:val="20"/>
                <w:szCs w:val="20"/>
                <w:color w:val="auto"/>
              </w:rPr>
            </w:pPr>
            <w:r>
              <w:rPr>
                <w:rFonts w:ascii="Arial" w:cs="Arial" w:eastAsia="Arial" w:hAnsi="Arial"/>
                <w:sz w:val="18"/>
                <w:szCs w:val="18"/>
                <w:color w:val="auto"/>
              </w:rPr>
              <w:t>Comprehensive</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50"/>
        </w:trPr>
        <w:tc>
          <w:tcPr>
            <w:tcW w:w="3160" w:type="dxa"/>
            <w:vAlign w:val="bottom"/>
          </w:tcPr>
          <w:p>
            <w:pPr>
              <w:spacing w:after="0"/>
              <w:rPr>
                <w:sz w:val="21"/>
                <w:szCs w:val="21"/>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1"/>
                <w:szCs w:val="21"/>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Capital</w:t>
            </w:r>
          </w:p>
        </w:tc>
        <w:tc>
          <w:tcPr>
            <w:tcW w:w="160" w:type="dxa"/>
            <w:vAlign w:val="bottom"/>
          </w:tcPr>
          <w:p>
            <w:pPr>
              <w:spacing w:after="0"/>
              <w:rPr>
                <w:sz w:val="21"/>
                <w:szCs w:val="21"/>
                <w:color w:val="auto"/>
              </w:rPr>
            </w:pPr>
          </w:p>
        </w:tc>
        <w:tc>
          <w:tcPr>
            <w:tcW w:w="900" w:type="dxa"/>
            <w:vAlign w:val="bottom"/>
            <w:gridSpan w:val="2"/>
          </w:tcPr>
          <w:p>
            <w:pPr>
              <w:jc w:val="right"/>
              <w:ind w:right="281"/>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321"/>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1"/>
                <w:szCs w:val="21"/>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color w:val="auto"/>
              </w:rPr>
              <w:t>Deficit</w:t>
            </w:r>
          </w:p>
        </w:tc>
        <w:tc>
          <w:tcPr>
            <w:tcW w:w="160" w:type="dxa"/>
            <w:vAlign w:val="bottom"/>
          </w:tcPr>
          <w:p>
            <w:pPr>
              <w:spacing w:after="0"/>
              <w:rPr>
                <w:sz w:val="21"/>
                <w:szCs w:val="21"/>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7,185,628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69,954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(3,375)</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(35,111)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31,540</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 of treasury shares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(83,333)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909</w:t>
            </w:r>
          </w:p>
        </w:tc>
        <w:tc>
          <w:tcPr>
            <w:tcW w:w="16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9"/>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(4,060)</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57"/>
        </w:trPr>
        <w:tc>
          <w:tcPr>
            <w:tcW w:w="31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Balances,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7,103,260</w:t>
            </w:r>
          </w:p>
        </w:tc>
        <w:tc>
          <w:tcPr>
            <w:tcW w:w="2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67,489</w:t>
            </w:r>
          </w:p>
        </w:tc>
        <w:tc>
          <w:tcPr>
            <w:tcW w:w="2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(39,171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Balances, March 31, 2020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7,103,260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66,923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(37,316)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29,678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(1,855)</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30"/>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7,103,260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2018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3,012,343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(3,375)</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(27,864)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02"/>
        </w:trPr>
        <w:tc>
          <w:tcPr>
            <w:tcW w:w="316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 stock and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warrants net of issuance expenses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1,295,323</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9,532</w:t>
            </w:r>
          </w:p>
        </w:tc>
        <w:tc>
          <w:tcPr>
            <w:tcW w:w="16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9,544</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Unrealized loss on marketable debt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9"/>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(3,503)</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57"/>
        </w:trPr>
        <w:tc>
          <w:tcPr>
            <w:tcW w:w="31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Balances, June 30,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4,307,666</w:t>
            </w:r>
          </w:p>
        </w:tc>
        <w:tc>
          <w:tcPr>
            <w:tcW w:w="2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42,680</w:t>
            </w:r>
          </w:p>
        </w:tc>
        <w:tc>
          <w:tcPr>
            <w:tcW w:w="2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1"/>
              </w:rPr>
              <w:t>(*</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Balances, March 31, 2019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4,307,666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42,385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(3,375)</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(29,825)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9,228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(1,542)</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4,307,666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For the Six Months Ended</w:t>
      </w:r>
    </w:p>
    <w:p>
      <w:pPr>
        <w:spacing w:after="0" w:line="23"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2020</w:t>
            </w:r>
          </w:p>
        </w:tc>
        <w:tc>
          <w:tcPr>
            <w:tcW w:w="5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8"/>
                <w:szCs w:val="18"/>
                <w:color w:val="auto"/>
              </w:rPr>
              <w:t>(Unaudited)</w:t>
            </w: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96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(4,060)</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25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discount (premium) on marketable debt security</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909</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610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333</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(693)</w:t>
            </w:r>
          </w:p>
        </w:tc>
        <w:tc>
          <w:tcPr>
            <w:tcW w:w="4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operating activities</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(3,888</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marketable security</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2,521</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marketable security</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(2,496)</w:t>
            </w: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Financing activities:</w:t>
            </w: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warrants, net of issuance costs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9,562</w:t>
            </w: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Repayment of shareholders investment</w:t>
            </w:r>
          </w:p>
        </w:tc>
        <w:tc>
          <w:tcPr>
            <w:tcW w:w="112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(3,375)</w:t>
            </w:r>
          </w:p>
        </w:tc>
        <w:tc>
          <w:tcPr>
            <w:tcW w:w="460" w:type="dxa"/>
            <w:vAlign w:val="bottom"/>
          </w:tcPr>
          <w:p>
            <w:pPr>
              <w:spacing w:after="0"/>
              <w:rPr>
                <w:sz w:val="20"/>
                <w:szCs w:val="20"/>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(4,818)</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3,866</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33,129</w:t>
            </w:r>
          </w:p>
        </w:tc>
        <w:tc>
          <w:tcPr>
            <w:tcW w:w="460" w:type="dxa"/>
            <w:vAlign w:val="bottom"/>
          </w:tcPr>
          <w:p>
            <w:pPr>
              <w:spacing w:after="0"/>
              <w:rPr>
                <w:sz w:val="20"/>
                <w:szCs w:val="20"/>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5,263</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ending of period</w:t>
            </w:r>
          </w:p>
        </w:tc>
        <w:tc>
          <w:tcPr>
            <w:tcW w:w="1120" w:type="dxa"/>
            <w:vAlign w:val="bottom"/>
            <w:tcBorders>
              <w:top w:val="single" w:sz="8" w:color="auto"/>
              <w:bottom w:val="single" w:sz="8" w:color="auto"/>
            </w:tcBorders>
            <w:shd w:val="clear" w:color="auto" w:fill="CCEEFF"/>
          </w:tcPr>
          <w:p>
            <w:pPr>
              <w:jc w:val="right"/>
              <w:ind w:right="96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right-of-use asset and lease liability upon adoption of ASU 2016-02</w:t>
            </w:r>
          </w:p>
        </w:tc>
        <w:tc>
          <w:tcPr>
            <w:tcW w:w="112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from interest</w:t>
            </w:r>
          </w:p>
        </w:tc>
        <w:tc>
          <w:tcPr>
            <w:tcW w:w="112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Description of business: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November 28, 2016 (the “Merger”), the Company consummated a transaction pursuant to an Agreement and Plan of Merger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its subsidiaries are collectively referred to as the “Company”.</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Unaudited Interim Financial Statements</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Operating results for the three and six-month periods ended June 30, 2020, are not necessarily indicative of the results that may be expected for the year ended December 31, 2020.</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June 30, 2020, the Company had unrestricted cash and cash equivalent balance of approximately $28,311, which management believes is sufficient to fund its operations for more than 12 months from the date of issuance of these financial statements and sufficient to fund its operations necessary to continue development activities of its current proposed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left="980"/>
        <w:spacing w:after="0" w:line="272" w:lineRule="auto"/>
        <w:rPr>
          <w:sz w:val="20"/>
          <w:szCs w:val="20"/>
          <w:color w:val="auto"/>
        </w:rPr>
      </w:pPr>
      <w:r>
        <w:rPr>
          <w:rFonts w:ascii="Arial" w:cs="Arial" w:eastAsia="Arial" w:hAnsi="Arial"/>
          <w:sz w:val="17"/>
          <w:szCs w:val="17"/>
          <w:color w:val="auto"/>
        </w:rPr>
        <w:t>Due to continuing research and development activities, the Company expects to continue to incur additional losses for the foreseeable future. While management of the Company believes that it has sufficient funds for more than 12 months, the Company may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7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An epidemic of the coronavirus disease (“COVID-19”) is ongoing throughout the world. As the outbreak is still evolving, much of its impact remains unknown. As of this filing, it is impossible to predict the effect and potential spread of the coronavirus disease globally. The coronavirus disease may cause significant delays and disruptions to our clinical trials.</w:t>
      </w:r>
    </w:p>
    <w:p>
      <w:pPr>
        <w:spacing w:after="0" w:line="184"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Additionally, travel restrictions have been implemented with respect to certain countries in an effort to contain the coronavirus disease, and several countries have expanded screenings of travelers. As travel restrictions are increasingly implemented and extended to other countries,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our products.</w:t>
      </w:r>
    </w:p>
    <w:p>
      <w:pPr>
        <w:spacing w:after="0" w:line="164"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The ultimate impact of the COVID-19 outbreak or a similar health epidemic is highly uncertain and subject to change, and the Company cannot presently predict the scope and severity of any potential business shutdowns or disruptions, but if the Company or any of the third parties with whom the Company’s engages, including the suppliers, clinical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980" w:right="20"/>
        <w:spacing w:after="0" w:line="308" w:lineRule="auto"/>
        <w:rPr>
          <w:sz w:val="20"/>
          <w:szCs w:val="20"/>
          <w:color w:val="auto"/>
        </w:rPr>
      </w:pPr>
      <w:r>
        <w:rPr>
          <w:rFonts w:ascii="Arial" w:cs="Arial" w:eastAsia="Arial" w:hAnsi="Arial"/>
          <w:sz w:val="17"/>
          <w:szCs w:val="17"/>
          <w:color w:val="auto"/>
        </w:rPr>
        <w:t>The significant accounting policies followed in the preparation of these unaudited interim condensed consolidated financial statements are identical to those applied in the preparation of the latest annual audited financial statements with the exception of the following: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ind w:left="98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84"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In August 2018, the FASB issued ASU 2018-13, “Changes to Disclosure Requirements for Fair Value Measurements”, which will improve the effectiveness of disclosure requirements for recurring and nonrecurring fair value measurements. The standard removes, modifies, and adds certain disclosure requirements, and is effective for the Company beginning on January 1, 2020. The adoption of this standard did not have a material effect on the Company’s interim consolidated financial statements.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In June 2016, FASB issued ASU No. 2016-13, “Financial Instruments – Credit Losses – Measurement of Credit Losses on Financial Instruments” (as amended by ASUs 2018-19, 2019-04, 2019-05, 2019-10, 2019-11, 2020-02 and 2020-03),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smaller reporting companies for fiscal years, and interim periods within those fiscal years, beginning after December 15, 2022, (January 1, 2023 for the Company). Early adoption is permitted. The Company is currently evaluating the impact this guidance may have on its consolidated financial statements and related disclosures.</w:t>
      </w:r>
    </w:p>
    <w:p>
      <w:pPr>
        <w:spacing w:after="0" w:line="177" w:lineRule="exact"/>
        <w:rPr>
          <w:sz w:val="20"/>
          <w:szCs w:val="20"/>
          <w:color w:val="auto"/>
        </w:rPr>
      </w:pPr>
    </w:p>
    <w:p>
      <w:pPr>
        <w:jc w:val="both"/>
        <w:ind w:left="980"/>
        <w:spacing w:after="0" w:line="285" w:lineRule="auto"/>
        <w:rPr>
          <w:sz w:val="20"/>
          <w:szCs w:val="20"/>
          <w:color w:val="auto"/>
        </w:rPr>
      </w:pPr>
      <w:r>
        <w:rPr>
          <w:rFonts w:ascii="Arial" w:cs="Arial" w:eastAsia="Arial" w:hAnsi="Arial"/>
          <w:sz w:val="16"/>
          <w:szCs w:val="16"/>
          <w:color w:val="auto"/>
        </w:rPr>
        <w:t>In December 2019, the FASB issued ASU 2019-12, “Simplifying the Accounting for Income Taxes” which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The ASU also is designed to improve financial statement preparers’ application of income tax-related guidance and simplify GAAP for (1) franchise taxes that are partially based on income,</w:t>
      </w:r>
    </w:p>
    <w:p>
      <w:pPr>
        <w:spacing w:after="0" w:line="2" w:lineRule="exact"/>
        <w:rPr>
          <w:sz w:val="20"/>
          <w:szCs w:val="20"/>
          <w:color w:val="auto"/>
        </w:rPr>
      </w:pPr>
    </w:p>
    <w:p>
      <w:pPr>
        <w:jc w:val="both"/>
        <w:ind w:left="980"/>
        <w:spacing w:after="0" w:line="255" w:lineRule="auto"/>
        <w:tabs>
          <w:tab w:leader="none" w:pos="12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a government that result in a step-up in the tax basis of goodwill, (3) separate financial statements of legal entities that are not subject to tax, and (4) enacted changes in tax laws in interim periods. The standard is effective for the Company on January 1, 2021 with early adoption permitted.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January 1, 2019, the Company adopted ASU 2016-02, Leases (Topic 842) (“ASU 2016-02”) using the modified retrospective approach for all lease arrangements at the beginning period of adoption. Leases existing for the reporting period beginning January 1, 2019 are presented under ASU 2016-02. The Company leases office space and vehicles under operating leases.</w:t>
      </w:r>
    </w:p>
    <w:p>
      <w:pPr>
        <w:spacing w:after="0" w:line="184"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The Company determines if an arrangement is a lease at inception. Operating lease assets are presented as operating lease right-of-use (“ROU”) assets, and corresponding operating lease liabilities are presented within accrued expenses and other current liabilities (current portions), and as operating lease liabilities (long-term portions), on the Company’s consolidated balance sheet.</w:t>
      </w:r>
    </w:p>
    <w:p>
      <w:pPr>
        <w:spacing w:after="0" w:line="165" w:lineRule="exact"/>
        <w:rPr>
          <w:sz w:val="20"/>
          <w:szCs w:val="20"/>
          <w:color w:val="auto"/>
        </w:rPr>
      </w:pPr>
    </w:p>
    <w:p>
      <w:pPr>
        <w:jc w:val="both"/>
        <w:ind w:left="980"/>
        <w:spacing w:after="0" w:line="291"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the Company would have to pay to borrow on a collateralized basis an amount equal to the lease payments in a similar economic environment over a similar term, and consider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w:t>
      </w:r>
    </w:p>
    <w:p>
      <w:pPr>
        <w:spacing w:after="0" w:line="166" w:lineRule="exact"/>
        <w:rPr>
          <w:sz w:val="20"/>
          <w:szCs w:val="20"/>
          <w:color w:val="auto"/>
        </w:rPr>
      </w:pPr>
    </w:p>
    <w:p>
      <w:pPr>
        <w:jc w:val="both"/>
        <w:ind w:left="980"/>
        <w:spacing w:after="0" w:line="290" w:lineRule="auto"/>
        <w:rPr>
          <w:sz w:val="20"/>
          <w:szCs w:val="20"/>
          <w:color w:val="auto"/>
        </w:rPr>
      </w:pPr>
      <w:r>
        <w:rPr>
          <w:rFonts w:ascii="Arial" w:cs="Arial" w:eastAsia="Arial" w:hAnsi="Arial"/>
          <w:sz w:val="16"/>
          <w:szCs w:val="16"/>
          <w:color w:val="auto"/>
        </w:rPr>
        <w:t>The Company has lease agreements with lease and non-lease components, which the Company accounts for as a single lease component. Some of the Company’s leases contain variable lease payments, which are expensed as incurred unless those payments are based on an index or rate. Variable lease payments based on an index or rate are initially measured using the index or rate in effect at lease commencement and included in the measurement of the lease liability; thereafter, changes to lease payments due to rate or index updates are recorded as rent expense in the period incurred.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 and the Company’s sublease transactions are de minimis.</w:t>
      </w:r>
    </w:p>
    <w:p>
      <w:pPr>
        <w:spacing w:after="0" w:line="16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As of June 30, 2020, the Company’s ROU assets and lease liabilities for operating leases totaled $869 and $855,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Supplemental cash flow information related to operating leases was as follows (unaudited):</w:t>
      </w:r>
    </w:p>
    <w:p>
      <w:pPr>
        <w:spacing w:after="0" w:line="22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As of</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5263515</wp:posOffset>
            </wp:positionH>
            <wp:positionV relativeFrom="paragraph">
              <wp:posOffset>5715</wp:posOffset>
            </wp:positionV>
            <wp:extent cx="10883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839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8260" w:val="left"/>
          <w:tab w:leader="none" w:pos="9800" w:val="left"/>
        </w:tabs>
        <w:rPr>
          <w:sz w:val="20"/>
          <w:szCs w:val="20"/>
          <w:color w:val="auto"/>
        </w:rPr>
      </w:pPr>
      <w:r>
        <w:rPr>
          <w:rFonts w:ascii="Arial" w:cs="Arial" w:eastAsia="Arial" w:hAnsi="Arial"/>
          <w:sz w:val="18"/>
          <w:szCs w:val="18"/>
          <w:color w:val="auto"/>
        </w:rPr>
        <w:t>Cash payments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41223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Undiscounted maturities of operating lease payments as June 30, 2020 are summarized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Operating Leases</w:t>
            </w:r>
          </w:p>
        </w:tc>
      </w:tr>
      <w:tr>
        <w:trPr>
          <w:trHeight w:val="216"/>
        </w:trPr>
        <w:tc>
          <w:tcPr>
            <w:tcW w:w="8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2020 (Remainder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36"/>
        </w:trPr>
        <w:tc>
          <w:tcPr>
            <w:tcW w:w="828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2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r>
      <w:tr>
        <w:trPr>
          <w:trHeight w:val="230"/>
        </w:trPr>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liability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00"/>
          </w:cols>
          <w:pgMar w:left="1300" w:top="692" w:right="4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Leases recorded on the balance sheet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440690</wp:posOffset>
            </wp:positionV>
            <wp:extent cx="641223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right of 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41223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 current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122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 weighted 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41223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 weighted average discount rate</w:t>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 of</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June 30, 2020</w:t>
      </w:r>
    </w:p>
    <w:p>
      <w:pPr>
        <w:spacing w:after="0" w:line="26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0883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188</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667</w:t>
      </w:r>
    </w:p>
    <w:p>
      <w:pPr>
        <w:spacing w:after="0" w:line="4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088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5715</wp:posOffset>
            </wp:positionV>
            <wp:extent cx="10801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0135" cy="17145"/>
                    </a:xfrm>
                    <a:prstGeom prst="rect">
                      <a:avLst/>
                    </a:prstGeom>
                    <a:noFill/>
                  </pic:spPr>
                </pic:pic>
              </a:graphicData>
            </a:graphic>
          </wp:anchor>
        </w:drawing>
      </w:r>
    </w:p>
    <w:p>
      <w:pPr>
        <w:spacing w:after="0" w:line="21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7560" w:space="720"/>
            <w:col w:w="1820"/>
          </w:cols>
          <w:pgMar w:left="1300" w:top="692" w:right="4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June 30, 2020 in the total amount of approximately $1,500 and, in return, Microbot Israel is obligated to pay royalties amounting to 3%-3.5%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Contract Research Agreements: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Agreement with Washington University</w:t>
      </w:r>
    </w:p>
    <w:p>
      <w:pPr>
        <w:spacing w:after="0" w:line="22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84" w:lineRule="exact"/>
        <w:rPr>
          <w:sz w:val="20"/>
          <w:szCs w:val="20"/>
          <w:color w:val="auto"/>
        </w:rPr>
      </w:pPr>
    </w:p>
    <w:p>
      <w:pPr>
        <w:jc w:val="both"/>
        <w:ind w:left="980"/>
        <w:spacing w:after="0" w:line="269" w:lineRule="auto"/>
        <w:rPr>
          <w:sz w:val="20"/>
          <w:szCs w:val="20"/>
          <w:color w:val="auto"/>
        </w:rPr>
      </w:pPr>
      <w:r>
        <w:rPr>
          <w:rFonts w:ascii="Arial" w:cs="Arial" w:eastAsia="Arial" w:hAnsi="Arial"/>
          <w:sz w:val="17"/>
          <w:szCs w:val="17"/>
          <w:color w:val="auto"/>
        </w:rPr>
        <w:t>The study in Washington U. includes several phases. The first phase (initial research) was completed. An agreement on the second phase was entered in September 2018 with total expected costs of approximately $248. As of June 30, 2020, this study is still on going and will be extended to continue until March 15, 2021.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Agreement with Wayne State University</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On September 12, 2016, the Company entered into a research agreement (the “WSU Agreement”) with Wayne State University (“WSU.”), pursuant to which the parties are collaborating to determine the efficacy of the Company’s self-cleaning shunt.</w:t>
      </w:r>
    </w:p>
    <w:p>
      <w:pPr>
        <w:spacing w:after="0" w:line="170"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The study in WSU includes several phases. The first phase (initial research) was completed. An agreement on the second phase was entered in April 2018 with total expected costs of approximately $130. In July 2018 the contract was updated to include phase 2.1 (preliminary phase to phase 2) with total expected costs of approximately $213. Pursuant to the WSU Agreement, WSU shall own all data generated by the research and the Company shall have unrestricted free right to use and disclose all the results, information and material generated from the WSU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308" w:lineRule="auto"/>
        <w:rPr>
          <w:sz w:val="20"/>
          <w:szCs w:val="20"/>
          <w:color w:val="auto"/>
        </w:rPr>
      </w:pPr>
      <w:r>
        <w:rPr>
          <w:rFonts w:ascii="Arial" w:cs="Arial" w:eastAsia="Arial" w:hAnsi="Arial"/>
          <w:sz w:val="17"/>
          <w:szCs w:val="17"/>
          <w:color w:val="auto"/>
        </w:rPr>
        <w:t>Rights to inventions, improvements or discoveries, whether or not patentable or copyrightable made solely by the employees of the Company in the course of performance of the workplan agreed upon between the Company and WSU shall belong to the Company.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Rights to inventions, improvements or discoveries, whether or not patentable or copyrightable made solely by the employees of WSU in the course of performance of the workplan agreed upon between the Company and WSU shall belong to WSU. WSU shall grant the Company with a worldwide non-exclusive, perpetual, royalty-free license to university inventions to use and practice patentable inventions.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Rights to inventions, improvements or discoveries, whether or not patentable or copyrightable made by at least one employee of WSU and one employee of the Company in the course of performance of the workplan agreed upon between the Company and WSU shall belong to WSU and the Company jointly. Both the Company and WSU will be free to use and license to others the rights of joint inventions for any and all purposes without consultation or obligation to the other party. WSU granted the Company a first option to negotiate an exclusive license to use and practice WSU inventions and its interest in the joint inventions as detailed in the WSU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(post-stock split)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the Company breached multiple representations and warranties contained in the SPA, of which the Plaintiffs participated, and fraudulently induced Plaintiffs into signing the SPA. The complaint seeks rescission of the SPA and return of the Plaintiffs’ $6,750 purchase price with respect to the Financing. The Company filed a Motion to Dismiss on March 16, 2020, which Motion is pending before the Court.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28, 2019, the Company brought an action against Alliance Investment Management, Ltd. (“Alliance”) in the Southern District of New York under Section 16(b) of the Securities Exchange Act of 1934, 15 U.S.C. 78p(b), to compel Alliance to disgorge short swing profits realized from purchases and sales of the Company’s securities within a period of less than six months, executed while Alliance reported beneficial ownership of more than 10% of the Company’s outstanding common stock and statutory “insider” status for purposes of the statute. The case is Microbot Medical Inc. v. Alliance Investment Management, Ltd., No. 19-cv-3782-GBD (SDNY). The amount of profits the Company is seeking to divest is estimated to be approximately $468.</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21, 2019, Alliance filed an answer to the action, claiming that an unnamed Alliance client was the “beneficial owner” of the shares reportedly held and traded by Alliance. On October 18, 21, and 28, 2019, Joseph Mona (“Mona”) filed Section 16(a) and Schedule 13G reports, which are substantially similar to the reports previously filed by Alliance. On October 28, 2019, Alliance filed a motion for summary judgment requesting that the Court dismiss the claims against Alliance in view of Mona’s SEC filings, which Alliance asserted revealed Mona as the client referenced in Alliance’s answer.</w:t>
      </w:r>
    </w:p>
    <w:p>
      <w:pPr>
        <w:spacing w:after="0" w:line="18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92" w:right="3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On November 7, 2019, U.S. Magistrate Judge Robert W. Lehrburger ordered Alliance to produce relevant trading records, to enable the Company to determine whether to proceed against Alliance and/or Mona. Following Alliance’s production of Mona’s Microbot trading records, the Company filed a Second Amended Complaint on November 18, 2019, seeking to compel Alliance and/or Mona to disgorge profits realized from the trades they each separately reported. The Company continued to oppose Alliance’s Motion for Summary Judgment given Alliance’s refusal to confirm that the trades reported by Alliance referred exclusively to the trades executed in Mona’s account—and did not refer to duplicative trading executed by Alliance. Alliance’s Motion for Summary Judgment is pending.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4, 2020, Mona answered the 16(b) claim the Company asserted against him by claiming various equitable defenses, and filed a counterclaim against the Company under Section 10(b) of the Securities Exchange Act of 1934 and Rule 10b-5 promulgated thereunder. Mona admits to engaging in the reported short swing trading of the Company’s stock while a 10% beneficial owner and statutory 16(b) insider of the Company, but alleges that he was induced to buy the stock by various company misrepresentations. Mona claims a net loss on trading the Company’s stock of approximately $151.</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6, 2020 the Company filed a motion for judgment on its 16(b) claim against Mona, together with a motion to dismiss Mona’s 10(b) counterclaim. The motion was fully briefed as of April 26, 2020 and is pending. All parties are currently scheduled to appear in court on October 13,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shares of common stock (100,000 shares of common stock before the Reverse Split) estimated at $74.</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(or approximately US$11.50, based on an exchange rate of NIS3.47 to the dollar) covering up to 60 consulting hours per month.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to Harel Gadot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February 25, 2020, the Company made the following changes to the compensation of Harel Gadot, the Company’s CEO, President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1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92" w:right="339" w:bottom="1440" w:gutter="0" w:footer="0" w:header="0"/>
        </w:sectPr>
      </w:pPr>
    </w:p>
    <w:bookmarkStart w:id="14" w:name="page15"/>
    <w:bookmarkEnd w:id="14"/>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Gadot’s annual base salary was increased from $360 to $450, retroactive to January 1, 2020.</w:t>
      </w:r>
    </w:p>
    <w:p>
      <w:pPr>
        <w:spacing w:after="0" w:line="225" w:lineRule="exact"/>
        <w:rPr>
          <w:rFonts w:ascii="Arial" w:cs="Arial" w:eastAsia="Arial" w:hAnsi="Arial"/>
          <w:sz w:val="18"/>
          <w:szCs w:val="18"/>
          <w:color w:val="auto"/>
        </w:rPr>
      </w:pPr>
    </w:p>
    <w:p>
      <w:pPr>
        <w:ind w:left="980"/>
        <w:spacing w:after="0" w:line="277" w:lineRule="auto"/>
        <w:tabs>
          <w:tab w:leader="none" w:pos="1144"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Gadot’s annual bonus pursuant to his Employment Agreement with the Company was increased from 40% of his annual salary to 60% of his annual salary, based on achieving certain milestones, commencing 2020.</w:t>
      </w:r>
    </w:p>
    <w:p>
      <w:pPr>
        <w:spacing w:after="0" w:line="170"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In addition, Mr. Gadot received a one-time special bonus equal to 60% of his newly-approved annual base salary. Mr. Gadot was also awarded non-qualified options to purchase 166,666 shares of Company common stock at an exercise price per share of $9.64, which vest in full on the one-year anniversary of the date of grant and expire on the ten-year anniversary.(See note 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June 30, 2020, the Company had 7,103,260 shares of common stock issued and outstanding.</w:t>
      </w:r>
    </w:p>
    <w:p>
      <w:pPr>
        <w:spacing w:after="0" w:line="225"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$3,000 before deducting placement agent fees and other offering expenses of approximately $688. The closing of the offering took place on January 15, 2019. The pre-funded warrants were exercised in full in January 2019. As part of the offering the company issued to the underwriter 22,767 warrants for 3.5 years with an exercise price of $8.125 for total value of $165.</w:t>
      </w:r>
    </w:p>
    <w:p>
      <w:pPr>
        <w:spacing w:after="0" w:line="195" w:lineRule="exact"/>
        <w:rPr>
          <w:sz w:val="20"/>
          <w:szCs w:val="20"/>
          <w:color w:val="auto"/>
        </w:rPr>
      </w:pPr>
    </w:p>
    <w:p>
      <w:pPr>
        <w:jc w:val="both"/>
        <w:ind w:left="980"/>
        <w:spacing w:after="0" w:line="296" w:lineRule="auto"/>
        <w:rPr>
          <w:sz w:val="20"/>
          <w:szCs w:val="20"/>
          <w:color w:val="auto"/>
        </w:rPr>
      </w:pPr>
      <w:r>
        <w:rPr>
          <w:rFonts w:ascii="Arial" w:cs="Arial" w:eastAsia="Arial" w:hAnsi="Arial"/>
          <w:sz w:val="16"/>
          <w:szCs w:val="16"/>
          <w:color w:val="auto"/>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$5,900 before deducting placement agent fees and other offering expenses of approximately $720. The closing of the offering took place on January 17, 2019. As part of the offering the company issued to the underwriter 29,500 warrants for 3.5 years with exercise price of $12.50 for total value of $221.</w:t>
      </w:r>
    </w:p>
    <w:p>
      <w:pPr>
        <w:spacing w:after="0" w:line="161" w:lineRule="exact"/>
        <w:rPr>
          <w:sz w:val="20"/>
          <w:szCs w:val="20"/>
          <w:color w:val="auto"/>
        </w:rPr>
      </w:pPr>
    </w:p>
    <w:p>
      <w:pPr>
        <w:jc w:val="both"/>
        <w:ind w:left="980"/>
        <w:spacing w:after="0" w:line="291" w:lineRule="auto"/>
        <w:rPr>
          <w:sz w:val="20"/>
          <w:szCs w:val="20"/>
          <w:color w:val="auto"/>
        </w:rPr>
      </w:pPr>
      <w:r>
        <w:rPr>
          <w:rFonts w:ascii="Arial" w:cs="Arial" w:eastAsia="Arial" w:hAnsi="Arial"/>
          <w:sz w:val="16"/>
          <w:szCs w:val="16"/>
          <w:color w:val="auto"/>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investors also purchased warrants to purchase an aggregate of up to 250,000 shares of the Company’s common stock, at a purchase price per warrant of $0.125. The warrants were exercisable for 1 year and had an exercise price of $10.00 per share, for a total value of $2,019. The gross proceeds to the Company from the sale of the shares and warrants were approximately $2,500 before deducting placement agent fees and other offering expenses of approximately $370. The closing of the offering took place on January 25, 2019. As part of the offering the company issued to the underwriter 12,500 warrants for 1 year with an exercise price of $12.50 for total value of $99.</w:t>
      </w:r>
    </w:p>
    <w:p>
      <w:pPr>
        <w:spacing w:after="0" w:line="166" w:lineRule="exact"/>
        <w:rPr>
          <w:sz w:val="20"/>
          <w:szCs w:val="20"/>
          <w:color w:val="auto"/>
        </w:rPr>
      </w:pPr>
    </w:p>
    <w:p>
      <w:pPr>
        <w:jc w:val="both"/>
        <w:ind w:left="980"/>
        <w:spacing w:after="0" w:line="275" w:lineRule="auto"/>
        <w:rPr>
          <w:sz w:val="20"/>
          <w:szCs w:val="20"/>
          <w:color w:val="auto"/>
        </w:rPr>
      </w:pPr>
      <w:r>
        <w:rPr>
          <w:rFonts w:ascii="Arial" w:cs="Arial" w:eastAsia="Arial" w:hAnsi="Arial"/>
          <w:sz w:val="17"/>
          <w:szCs w:val="17"/>
          <w:color w:val="auto"/>
        </w:rPr>
        <w:t>On December 25, 2019 the Company entered into a Securities Purchase Agreement with accredited institutional investors providing for the issuance and sale by the Company to the purchasers of an aggregate of 912,858 shares of the Company’s common stock, at a purchase price per share of $10.50. The gross proceeds to the Company were approximately $9,585 before deducting placement agent fees and other offering expenses of approximately $1,090. The closing of the offering took place on December 27, 2019. As part of the offering the Company issued to the underwriter 45,643 warrants for 3.5 years with an exercise price of $13.125 for total value of $371.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spacing w:after="0" w:line="296" w:lineRule="auto"/>
        <w:rPr>
          <w:sz w:val="20"/>
          <w:szCs w:val="20"/>
          <w:color w:val="auto"/>
        </w:rPr>
      </w:pPr>
      <w:r>
        <w:rPr>
          <w:rFonts w:ascii="Arial" w:cs="Arial" w:eastAsia="Arial" w:hAnsi="Arial"/>
          <w:sz w:val="16"/>
          <w:szCs w:val="16"/>
          <w:color w:val="auto"/>
        </w:rPr>
        <w:t>On December 27, 2019 the Company entered into a Securities Purchase Agreement with accredited institutional investors providing for the issuance and sale by the Company to the purchasers of an aggregate of 952,383 shares of the Company’s common stock, at a purchase price per share of $10.50. The gross proceeds to the Company were approximately $10,000 before deducting placement agent fees and other offering expenses of approximately $1,010. The closing of the offering took place on December 30, 2019. As part of the offering the Company issued to the underwriter 47,619 warrants for 3.5 years with an exercise price of $13.125 for total value of $366.</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30, 2019 the Company entered into a Securities Purchase Agreement with accredited institutional investors providing for the issuance and sale by the Company to the purchasers of an aggregate of 900,901 shares of the Company’s common stock, at a purchase price per share of $11.10. The gross proceeds to the Company were approximately $10,000 before deducting placement agent fees and other offering expenses of approximately $1,010. The closing of the offering took place on December 31, 2019. As part of the offering the Company issued to the underwriter 45,045 warrants for 3.5 years with an exercise price of $13.875 for total value of $343.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21, 2019, the board of directors approved a grant of 11,630 stock options to purchase an aggregate of up to 11,630 shares of common stock to certain of its directors, at an exercise price per share of $8.60. The stock options vest over a period of 3 years as outlined in the option agreements. As a result, the Company recognized compensation expenses as of June 30, 2020 and 2019 in the total amount of $14 and $30, respectively,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12, 2019, the board of directors approved a grant of 17,503 stock options to purchase an aggregate of up to 17,503 shares of common stock to certain of its employees, at an exercise price per share of $5.95. The stock options vest over a period of 3 years as outlined in the option agreements. As a result, the Company recognized compensation expenses as of June 30, 2020 and 2019 in the total amount of $18 and $0, respectively,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23, 2019, the board of directors approved a grant of 19,760 stock options to purchase an aggregate of up to 19,760 shares of common stock to certain of its directors, at an exercise price per share of $5.06. The stock options vest over a period of 3 years as outlined in the option agreements. As a result, the Company recognized compensation expenses as of June 30, 2020 and 2019 in the total amount of $16 and $0, respectively, included in general and administrative expenses.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25, 2020, the board of directors approved a grant of 166,666 stock options to purchase an aggregate of up to 166,666 shares of common stock to Mr. Harel Gadot, the Company’s Chairman of the Board, President and CEO, at an exercise price per share of $9.64. The stock options vest over a period of 1 years as outlined in the option agreements. As a result, the Company recognized compensation expenses as of June 30, 2020 and 2019 in the total amount of $505 and $0, respectively, included in general and administrative expenses.</w:t>
      </w:r>
    </w:p>
    <w:p>
      <w:pPr>
        <w:spacing w:after="0" w:line="15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92" w:right="339" w:bottom="1440" w:gutter="0" w:footer="0" w:header="0"/>
        </w:sectPr>
      </w:pPr>
    </w:p>
    <w:bookmarkStart w:id="16" w:name="page17"/>
    <w:bookmarkEnd w:id="16"/>
    <w:p>
      <w:pPr>
        <w:ind w:left="980"/>
        <w:spacing w:after="0"/>
        <w:rPr>
          <w:sz w:val="20"/>
          <w:szCs w:val="20"/>
          <w:color w:val="auto"/>
        </w:rPr>
      </w:pPr>
      <w:r>
        <w:rPr>
          <w:rFonts w:ascii="Arial" w:cs="Arial" w:eastAsia="Arial" w:hAnsi="Arial"/>
          <w:sz w:val="17"/>
          <w:szCs w:val="17"/>
          <w:color w:val="auto"/>
        </w:rPr>
        <w:t>A summary of the Company’s option activity related to options to employees and directors, and related information is as followed: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As of</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582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color w:val="auto"/>
                <w:w w:val="89"/>
              </w:rPr>
              <w:t>June 30, 2020</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5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7"/>
                <w:szCs w:val="17"/>
                <w:color w:val="auto"/>
              </w:rPr>
            </w:pPr>
          </w:p>
        </w:tc>
      </w:tr>
      <w:tr>
        <w:trPr>
          <w:trHeight w:val="216"/>
        </w:trPr>
        <w:tc>
          <w:tcPr>
            <w:tcW w:w="58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Number of stock</w:t>
            </w:r>
          </w:p>
        </w:tc>
        <w:tc>
          <w:tcPr>
            <w:tcW w:w="1340" w:type="dxa"/>
            <w:vAlign w:val="bottom"/>
            <w:gridSpan w:val="3"/>
          </w:tcPr>
          <w:p>
            <w:pPr>
              <w:jc w:val="center"/>
              <w:ind w:right="80"/>
              <w:spacing w:after="0"/>
              <w:rPr>
                <w:sz w:val="20"/>
                <w:szCs w:val="20"/>
                <w:color w:val="auto"/>
              </w:rPr>
            </w:pPr>
            <w:r>
              <w:rPr>
                <w:rFonts w:ascii="Arial" w:cs="Arial" w:eastAsia="Arial" w:hAnsi="Arial"/>
                <w:sz w:val="18"/>
                <w:szCs w:val="18"/>
                <w:color w:val="auto"/>
                <w:w w:val="86"/>
              </w:rPr>
              <w:t>average exercise</w:t>
            </w:r>
          </w:p>
        </w:tc>
      </w:tr>
      <w:tr>
        <w:trPr>
          <w:trHeight w:val="237"/>
        </w:trPr>
        <w:tc>
          <w:tcPr>
            <w:tcW w:w="5820" w:type="dxa"/>
            <w:vAlign w:val="bottom"/>
          </w:tcPr>
          <w:p>
            <w:pPr>
              <w:spacing w:after="0"/>
              <w:rPr>
                <w:sz w:val="20"/>
                <w:szCs w:val="20"/>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options</w:t>
            </w:r>
          </w:p>
        </w:tc>
        <w:tc>
          <w:tcPr>
            <w:tcW w:w="26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r>
      <w:tr>
        <w:trPr>
          <w:trHeight w:val="216"/>
        </w:trPr>
        <w:tc>
          <w:tcPr>
            <w:tcW w:w="58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371,360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166,666</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9.64</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Exercise</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58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at end of period</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537,061</w:t>
            </w:r>
          </w:p>
        </w:tc>
        <w:tc>
          <w:tcPr>
            <w:tcW w:w="2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58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Vested at end of period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303,509</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5820" w:type="dxa"/>
            <w:vAlign w:val="bottom"/>
          </w:tcPr>
          <w:p>
            <w:pPr>
              <w:spacing w:after="0"/>
              <w:rPr>
                <w:sz w:val="24"/>
                <w:szCs w:val="24"/>
                <w:color w:val="auto"/>
              </w:rPr>
            </w:pPr>
          </w:p>
        </w:tc>
        <w:tc>
          <w:tcPr>
            <w:tcW w:w="3160" w:type="dxa"/>
            <w:vAlign w:val="bottom"/>
            <w:gridSpan w:val="5"/>
          </w:tcPr>
          <w:p>
            <w:pPr>
              <w:jc w:val="center"/>
              <w:ind w:right="100"/>
              <w:spacing w:after="0"/>
              <w:rPr>
                <w:sz w:val="20"/>
                <w:szCs w:val="20"/>
                <w:color w:val="auto"/>
              </w:rPr>
            </w:pPr>
            <w:r>
              <w:rPr>
                <w:rFonts w:ascii="Arial" w:cs="Arial" w:eastAsia="Arial" w:hAnsi="Arial"/>
                <w:sz w:val="18"/>
                <w:szCs w:val="18"/>
                <w:color w:val="auto"/>
                <w:w w:val="88"/>
              </w:rPr>
              <w:t>For the Year ended</w:t>
            </w:r>
          </w:p>
        </w:tc>
      </w:tr>
      <w:tr>
        <w:trPr>
          <w:trHeight w:val="237"/>
        </w:trPr>
        <w:tc>
          <w:tcPr>
            <w:tcW w:w="5820" w:type="dxa"/>
            <w:vAlign w:val="bottom"/>
          </w:tcPr>
          <w:p>
            <w:pPr>
              <w:spacing w:after="0"/>
              <w:rPr>
                <w:sz w:val="20"/>
                <w:szCs w:val="20"/>
                <w:color w:val="auto"/>
              </w:rPr>
            </w:pPr>
          </w:p>
        </w:tc>
        <w:tc>
          <w:tcPr>
            <w:tcW w:w="3160" w:type="dxa"/>
            <w:vAlign w:val="bottom"/>
            <w:gridSpan w:val="5"/>
          </w:tcPr>
          <w:p>
            <w:pPr>
              <w:jc w:val="center"/>
              <w:ind w:right="100"/>
              <w:spacing w:after="0"/>
              <w:rPr>
                <w:sz w:val="20"/>
                <w:szCs w:val="20"/>
                <w:color w:val="auto"/>
              </w:rPr>
            </w:pPr>
            <w:r>
              <w:rPr>
                <w:rFonts w:ascii="Arial" w:cs="Arial" w:eastAsia="Arial" w:hAnsi="Arial"/>
                <w:sz w:val="18"/>
                <w:szCs w:val="18"/>
                <w:color w:val="auto"/>
                <w:w w:val="89"/>
              </w:rPr>
              <w:t>December 31, 2019</w:t>
            </w:r>
          </w:p>
        </w:tc>
      </w:tr>
      <w:tr>
        <w:trPr>
          <w:trHeight w:val="202"/>
        </w:trPr>
        <w:tc>
          <w:tcPr>
            <w:tcW w:w="58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70"/>
              <w:spacing w:after="0" w:line="201" w:lineRule="exact"/>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7"/>
                <w:szCs w:val="17"/>
                <w:color w:val="auto"/>
              </w:rPr>
            </w:pPr>
          </w:p>
        </w:tc>
      </w:tr>
      <w:tr>
        <w:trPr>
          <w:trHeight w:val="216"/>
        </w:trPr>
        <w:tc>
          <w:tcPr>
            <w:tcW w:w="58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Number of stock</w:t>
            </w:r>
          </w:p>
        </w:tc>
        <w:tc>
          <w:tcPr>
            <w:tcW w:w="1340" w:type="dxa"/>
            <w:vAlign w:val="bottom"/>
            <w:gridSpan w:val="3"/>
          </w:tcPr>
          <w:p>
            <w:pPr>
              <w:jc w:val="center"/>
              <w:ind w:right="80"/>
              <w:spacing w:after="0"/>
              <w:rPr>
                <w:sz w:val="20"/>
                <w:szCs w:val="20"/>
                <w:color w:val="auto"/>
              </w:rPr>
            </w:pPr>
            <w:r>
              <w:rPr>
                <w:rFonts w:ascii="Arial" w:cs="Arial" w:eastAsia="Arial" w:hAnsi="Arial"/>
                <w:sz w:val="18"/>
                <w:szCs w:val="18"/>
                <w:color w:val="auto"/>
                <w:w w:val="86"/>
              </w:rPr>
              <w:t>average exercise</w:t>
            </w:r>
          </w:p>
        </w:tc>
      </w:tr>
      <w:tr>
        <w:trPr>
          <w:trHeight w:val="237"/>
        </w:trPr>
        <w:tc>
          <w:tcPr>
            <w:tcW w:w="5820" w:type="dxa"/>
            <w:vAlign w:val="bottom"/>
          </w:tcPr>
          <w:p>
            <w:pPr>
              <w:spacing w:after="0"/>
              <w:rPr>
                <w:sz w:val="20"/>
                <w:szCs w:val="20"/>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options</w:t>
            </w:r>
          </w:p>
        </w:tc>
        <w:tc>
          <w:tcPr>
            <w:tcW w:w="26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r>
      <w:tr>
        <w:trPr>
          <w:trHeight w:val="216"/>
        </w:trPr>
        <w:tc>
          <w:tcPr>
            <w:tcW w:w="58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398,308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48,893</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(28,690)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Cancelled</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(47,151)</w:t>
            </w: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8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270,827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June 30, 2020 and 2019, respectively.</w:t>
      </w:r>
    </w:p>
    <w:p>
      <w:pPr>
        <w:spacing w:after="0" w:line="184"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As of June 30, 2020, and 2019, the aggregate intrinsic value of the outstanding options is $689 and $403 respectively, and the aggregate intrinsic value of the exercisable options is $651 and $403, respectively.</w:t>
      </w:r>
    </w:p>
    <w:p>
      <w:pPr>
        <w:spacing w:after="0" w:line="170"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As of June 30, 2020, there were approximately $1,884 of total unrecognized compensation costs, net of expected forfeitures, related to unvested share-based compensation awards granted under the Share Incentive Plan. The costs are expected to be recognized over a weighted average period of 0.86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ind w:left="900"/>
        <w:spacing w:after="0"/>
        <w:rPr>
          <w:sz w:val="20"/>
          <w:szCs w:val="20"/>
          <w:color w:val="auto"/>
        </w:rPr>
      </w:pPr>
      <w:r>
        <w:rPr>
          <w:rFonts w:ascii="Arial" w:cs="Arial" w:eastAsia="Arial" w:hAnsi="Arial"/>
          <w:sz w:val="18"/>
          <w:szCs w:val="18"/>
          <w:color w:val="auto"/>
        </w:rPr>
        <w:t>The stock options outstanding as of June 30, 2020 and December 31, 2019, summarized by exercise prices, are as follows: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Weighted average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remaining</w:t>
            </w: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remaining</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Stock options</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Stock options</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contractual life</w:t>
            </w: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contractual life –</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outstanding as</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outstanding as of</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 years</w:t>
            </w: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years</w:t>
            </w: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exercisable as</w:t>
            </w:r>
          </w:p>
        </w:tc>
        <w:tc>
          <w:tcPr>
            <w:tcW w:w="14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Stock options</w:t>
            </w:r>
          </w:p>
        </w:tc>
      </w:tr>
      <w:tr>
        <w:trPr>
          <w:trHeight w:val="216"/>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Exercise</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December 31,</w:t>
            </w:r>
          </w:p>
        </w:tc>
        <w:tc>
          <w:tcPr>
            <w:tcW w:w="1480" w:type="dxa"/>
            <w:vAlign w:val="bottom"/>
            <w:gridSpan w:val="2"/>
          </w:tcPr>
          <w:p>
            <w:pPr>
              <w:ind w:left="400"/>
              <w:spacing w:after="0"/>
              <w:rPr>
                <w:sz w:val="20"/>
                <w:szCs w:val="20"/>
                <w:color w:val="auto"/>
              </w:rPr>
            </w:pPr>
            <w:r>
              <w:rPr>
                <w:rFonts w:ascii="Arial" w:cs="Arial" w:eastAsia="Arial" w:hAnsi="Arial"/>
                <w:sz w:val="18"/>
                <w:szCs w:val="18"/>
                <w:color w:val="auto"/>
              </w:rPr>
              <w:t>as of</w:t>
            </w: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as of</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of</w:t>
            </w:r>
          </w:p>
        </w:tc>
        <w:tc>
          <w:tcPr>
            <w:tcW w:w="14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exercisable as of</w:t>
            </w:r>
          </w:p>
        </w:tc>
      </w:tr>
      <w:tr>
        <w:trPr>
          <w:trHeight w:val="237"/>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price $</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2020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30, 2020</w:t>
            </w: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31, 2019</w:t>
            </w: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June 30, 2020</w:t>
            </w:r>
          </w:p>
        </w:tc>
        <w:tc>
          <w:tcPr>
            <w:tcW w:w="164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2019</w:t>
            </w:r>
          </w:p>
        </w:tc>
      </w:tr>
      <w:tr>
        <w:trPr>
          <w:trHeight w:val="216"/>
        </w:trPr>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77,846</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77,846</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77,846</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77,846</w:t>
            </w:r>
          </w:p>
        </w:tc>
        <w:tc>
          <w:tcPr>
            <w:tcW w:w="80" w:type="dxa"/>
            <w:vAlign w:val="bottom"/>
            <w:shd w:val="clear" w:color="auto" w:fill="CCEEFF"/>
          </w:tcPr>
          <w:p>
            <w:pPr>
              <w:spacing w:after="0"/>
              <w:rPr>
                <w:sz w:val="18"/>
                <w:szCs w:val="18"/>
                <w:color w:val="auto"/>
              </w:rPr>
            </w:pPr>
          </w:p>
        </w:tc>
      </w:tr>
      <w:tr>
        <w:trPr>
          <w:trHeight w:val="216"/>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15.75</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133,546</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133,546</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105,911</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90,641</w:t>
            </w:r>
          </w:p>
        </w:tc>
        <w:tc>
          <w:tcPr>
            <w:tcW w:w="80" w:type="dxa"/>
            <w:vAlign w:val="bottom"/>
          </w:tcPr>
          <w:p>
            <w:pPr>
              <w:spacing w:after="0"/>
              <w:rPr>
                <w:sz w:val="18"/>
                <w:szCs w:val="18"/>
                <w:color w:val="auto"/>
              </w:rPr>
            </w:pPr>
          </w:p>
        </w:tc>
      </w:tr>
      <w:tr>
        <w:trPr>
          <w:trHeight w:val="216"/>
        </w:trPr>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8.60</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11,630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11,630</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7,265</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5,515</w:t>
            </w:r>
          </w:p>
        </w:tc>
        <w:tc>
          <w:tcPr>
            <w:tcW w:w="80" w:type="dxa"/>
            <w:vAlign w:val="bottom"/>
            <w:shd w:val="clear" w:color="auto" w:fill="CCEEFF"/>
          </w:tcPr>
          <w:p>
            <w:pPr>
              <w:spacing w:after="0"/>
              <w:rPr>
                <w:sz w:val="18"/>
                <w:szCs w:val="18"/>
                <w:color w:val="auto"/>
              </w:rPr>
            </w:pPr>
          </w:p>
        </w:tc>
      </w:tr>
      <w:tr>
        <w:trPr>
          <w:trHeight w:val="216"/>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9.00</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6,250</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8"/>
                <w:szCs w:val="18"/>
                <w:color w:val="auto"/>
              </w:rPr>
            </w:pPr>
          </w:p>
        </w:tc>
      </w:tr>
      <w:tr>
        <w:trPr>
          <w:trHeight w:val="216"/>
        </w:trPr>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9.64</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166,666</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5.95</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17,503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17,503</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5688</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5.06</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19,760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19,760</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4940</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15.30</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38,533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38,533</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34,032</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29,533</w:t>
            </w:r>
          </w:p>
        </w:tc>
        <w:tc>
          <w:tcPr>
            <w:tcW w:w="80" w:type="dxa"/>
            <w:vAlign w:val="bottom"/>
          </w:tcPr>
          <w:p>
            <w:pPr>
              <w:spacing w:after="0"/>
              <w:rPr>
                <w:sz w:val="18"/>
                <w:szCs w:val="18"/>
                <w:color w:val="auto"/>
              </w:rPr>
            </w:pPr>
          </w:p>
        </w:tc>
      </w:tr>
      <w:tr>
        <w:trPr>
          <w:trHeight w:val="249"/>
        </w:trPr>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61,577</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62,542</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61,577</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62,542</w:t>
            </w:r>
          </w:p>
        </w:tc>
        <w:tc>
          <w:tcPr>
            <w:tcW w:w="80" w:type="dxa"/>
            <w:vAlign w:val="bottom"/>
            <w:shd w:val="clear" w:color="auto" w:fill="CCEEFF"/>
          </w:tcPr>
          <w:p>
            <w:pPr>
              <w:spacing w:after="0"/>
              <w:rPr>
                <w:sz w:val="21"/>
                <w:szCs w:val="21"/>
                <w:color w:val="auto"/>
              </w:rPr>
            </w:pPr>
          </w:p>
        </w:tc>
      </w:tr>
      <w:tr>
        <w:trPr>
          <w:trHeight w:val="217"/>
        </w:trPr>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537,061</w:t>
            </w:r>
          </w:p>
        </w:tc>
        <w:tc>
          <w:tcPr>
            <w:tcW w:w="28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371,360</w:t>
            </w:r>
          </w:p>
        </w:tc>
        <w:tc>
          <w:tcPr>
            <w:tcW w:w="280" w:type="dxa"/>
            <w:vAlign w:val="bottom"/>
            <w:tcBorders>
              <w:top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303,509</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270,827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Less than $0.01.</w:t>
      </w:r>
    </w:p>
    <w:p>
      <w:pPr>
        <w:spacing w:after="0" w:line="225"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Compensation expense recorded by the Company for its stock-based employee compensation awards in accordance with ASC 718-10 for the six months ended June 30, 2020 and 2019 was $909 and $610, respectively.</w:t>
      </w:r>
    </w:p>
    <w:p>
      <w:pPr>
        <w:spacing w:after="0" w:line="170"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grant date fair values of stock options granted in the years ended June 30, 2020 and 2019 were estimated using the Black-Scholes valuation model with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60" w:type="dxa"/>
            <w:vAlign w:val="bottom"/>
            <w:gridSpan w:val="2"/>
          </w:tcPr>
          <w:p>
            <w:pPr>
              <w:jc w:val="right"/>
              <w:ind w:right="1080"/>
              <w:spacing w:after="0"/>
              <w:rPr>
                <w:sz w:val="20"/>
                <w:szCs w:val="20"/>
                <w:color w:val="auto"/>
              </w:rPr>
            </w:pPr>
            <w:r>
              <w:rPr>
                <w:rFonts w:ascii="Arial" w:cs="Arial" w:eastAsia="Arial" w:hAnsi="Arial"/>
                <w:sz w:val="18"/>
                <w:szCs w:val="18"/>
                <w:color w:val="auto"/>
              </w:rPr>
              <w:t>As of</w:t>
            </w:r>
          </w:p>
        </w:tc>
        <w:tc>
          <w:tcPr>
            <w:tcW w:w="1980" w:type="dxa"/>
            <w:vAlign w:val="bottom"/>
            <w:gridSpan w:val="2"/>
          </w:tcPr>
          <w:p>
            <w:pPr>
              <w:jc w:val="right"/>
              <w:ind w:right="660"/>
              <w:spacing w:after="0"/>
              <w:rPr>
                <w:sz w:val="20"/>
                <w:szCs w:val="20"/>
                <w:color w:val="auto"/>
              </w:rPr>
            </w:pPr>
            <w:r>
              <w:rPr>
                <w:rFonts w:ascii="Arial" w:cs="Arial" w:eastAsia="Arial" w:hAnsi="Arial"/>
                <w:sz w:val="18"/>
                <w:szCs w:val="18"/>
                <w:color w:val="auto"/>
              </w:rPr>
              <w:t>Year ended</w:t>
            </w:r>
          </w:p>
        </w:tc>
        <w:tc>
          <w:tcPr>
            <w:tcW w:w="160" w:type="dxa"/>
            <w:vAlign w:val="bottom"/>
          </w:tcPr>
          <w:p>
            <w:pPr>
              <w:spacing w:after="0"/>
              <w:rPr>
                <w:sz w:val="18"/>
                <w:szCs w:val="18"/>
                <w:color w:val="auto"/>
              </w:rPr>
            </w:pPr>
          </w:p>
        </w:tc>
      </w:tr>
      <w:tr>
        <w:trPr>
          <w:trHeight w:val="237"/>
        </w:trPr>
        <w:tc>
          <w:tcPr>
            <w:tcW w:w="9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6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2020</w:t>
            </w:r>
          </w:p>
        </w:tc>
        <w:tc>
          <w:tcPr>
            <w:tcW w:w="1980" w:type="dxa"/>
            <w:vAlign w:val="bottom"/>
            <w:gridSpan w:val="2"/>
          </w:tcPr>
          <w:p>
            <w:pPr>
              <w:jc w:val="right"/>
              <w:ind w:right="360"/>
              <w:spacing w:after="0"/>
              <w:rPr>
                <w:sz w:val="20"/>
                <w:szCs w:val="20"/>
                <w:color w:val="auto"/>
              </w:rPr>
            </w:pPr>
            <w:r>
              <w:rPr>
                <w:rFonts w:ascii="Arial" w:cs="Arial" w:eastAsia="Arial" w:hAnsi="Arial"/>
                <w:sz w:val="18"/>
                <w:szCs w:val="18"/>
                <w:color w:val="auto"/>
              </w:rPr>
              <w:t>December 31, 2019</w:t>
            </w:r>
          </w:p>
        </w:tc>
        <w:tc>
          <w:tcPr>
            <w:tcW w:w="16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135.60%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132.63%-144.4%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Risk-free interest</w:t>
            </w:r>
          </w:p>
        </w:tc>
        <w:tc>
          <w:tcPr>
            <w:tcW w:w="4800" w:type="dxa"/>
            <w:vAlign w:val="bottom"/>
            <w:gridSpan w:val="3"/>
          </w:tcPr>
          <w:p>
            <w:pPr>
              <w:jc w:val="right"/>
              <w:ind w:right="200"/>
              <w:spacing w:after="0"/>
              <w:rPr>
                <w:sz w:val="20"/>
                <w:szCs w:val="20"/>
                <w:color w:val="auto"/>
              </w:rPr>
            </w:pPr>
            <w:r>
              <w:rPr>
                <w:rFonts w:ascii="Arial" w:cs="Arial" w:eastAsia="Arial" w:hAnsi="Arial"/>
                <w:sz w:val="18"/>
                <w:szCs w:val="18"/>
                <w:color w:val="auto"/>
              </w:rPr>
              <w:t>1.20%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1.49%-2.62%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4800" w:type="dxa"/>
            <w:vAlign w:val="bottom"/>
            <w:gridSpan w:val="3"/>
          </w:tcPr>
          <w:p>
            <w:pPr>
              <w:jc w:val="right"/>
              <w:ind w:right="340"/>
              <w:spacing w:after="0"/>
              <w:rPr>
                <w:sz w:val="20"/>
                <w:szCs w:val="20"/>
                <w:color w:val="auto"/>
              </w:rPr>
            </w:pPr>
            <w:r>
              <w:rPr>
                <w:rFonts w:ascii="Arial" w:cs="Arial" w:eastAsia="Arial" w:hAnsi="Arial"/>
                <w:sz w:val="18"/>
                <w:szCs w:val="18"/>
                <w:color w:val="auto"/>
              </w:rPr>
              <w:t>6</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5.282</w:t>
            </w:r>
          </w:p>
        </w:tc>
        <w:tc>
          <w:tcPr>
            <w:tcW w:w="160" w:type="dxa"/>
            <w:vAlign w:val="bottom"/>
          </w:tcPr>
          <w:p>
            <w:pPr>
              <w:spacing w:after="0"/>
              <w:rPr>
                <w:sz w:val="20"/>
                <w:szCs w:val="20"/>
                <w:color w:val="auto"/>
              </w:rPr>
            </w:pPr>
          </w:p>
        </w:tc>
      </w:tr>
      <w:tr>
        <w:trPr>
          <w:trHeight w:val="425"/>
        </w:trPr>
        <w:tc>
          <w:tcPr>
            <w:tcW w:w="9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16</w:t>
            </w:r>
          </w:p>
        </w:tc>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8" w:name="page19"/>
    <w:bookmarkEnd w:id="18"/>
    <w:p>
      <w:pPr>
        <w:ind w:left="98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remaining outstanding warrants and terms as of June 30, 2020 and December 31, 2019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6"/>
                <w:szCs w:val="16"/>
                <w:color w:val="auto"/>
              </w:rPr>
              <w:t>Outstanding</w:t>
            </w: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color w:val="auto"/>
                <w:w w:val="90"/>
              </w:rPr>
              <w:t>Outstanding</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6"/>
                <w:szCs w:val="16"/>
                <w:color w:val="auto"/>
              </w:rPr>
              <w:t>Exercisable</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960"/>
              <w:spacing w:after="0"/>
              <w:rPr>
                <w:sz w:val="20"/>
                <w:szCs w:val="20"/>
                <w:color w:val="auto"/>
              </w:rPr>
            </w:pPr>
            <w:r>
              <w:rPr>
                <w:rFonts w:ascii="Arial" w:cs="Arial" w:eastAsia="Arial" w:hAnsi="Arial"/>
                <w:sz w:val="16"/>
                <w:szCs w:val="16"/>
                <w:color w:val="auto"/>
              </w:rPr>
              <w:t>as of</w:t>
            </w:r>
          </w:p>
        </w:tc>
        <w:tc>
          <w:tcPr>
            <w:tcW w:w="1820" w:type="dxa"/>
            <w:vAlign w:val="bottom"/>
            <w:gridSpan w:val="2"/>
          </w:tcPr>
          <w:p>
            <w:pPr>
              <w:jc w:val="center"/>
              <w:ind w:right="360"/>
              <w:spacing w:after="0"/>
              <w:rPr>
                <w:sz w:val="20"/>
                <w:szCs w:val="20"/>
                <w:color w:val="auto"/>
              </w:rPr>
            </w:pPr>
            <w:r>
              <w:rPr>
                <w:rFonts w:ascii="Arial" w:cs="Arial" w:eastAsia="Arial" w:hAnsi="Arial"/>
                <w:sz w:val="16"/>
                <w:szCs w:val="16"/>
                <w:color w:val="auto"/>
                <w:w w:val="86"/>
              </w:rPr>
              <w:t>as of</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6"/>
                <w:szCs w:val="16"/>
                <w:color w:val="auto"/>
              </w:rPr>
              <w:t>as of</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00" w:type="dxa"/>
            <w:vAlign w:val="bottom"/>
            <w:gridSpan w:val="2"/>
          </w:tcPr>
          <w:p>
            <w:pPr>
              <w:ind w:left="700"/>
              <w:spacing w:after="0"/>
              <w:rPr>
                <w:sz w:val="20"/>
                <w:szCs w:val="20"/>
                <w:color w:val="auto"/>
              </w:rPr>
            </w:pPr>
            <w:r>
              <w:rPr>
                <w:rFonts w:ascii="Arial" w:cs="Arial" w:eastAsia="Arial" w:hAnsi="Arial"/>
                <w:sz w:val="16"/>
                <w:szCs w:val="16"/>
                <w:color w:val="auto"/>
              </w:rPr>
              <w:t>Issuance date</w:t>
            </w:r>
          </w:p>
        </w:tc>
        <w:tc>
          <w:tcPr>
            <w:tcW w:w="1820" w:type="dxa"/>
            <w:vAlign w:val="bottom"/>
            <w:gridSpan w:val="2"/>
          </w:tcPr>
          <w:p>
            <w:pPr>
              <w:jc w:val="right"/>
              <w:ind w:right="640"/>
              <w:spacing w:after="0"/>
              <w:rPr>
                <w:sz w:val="20"/>
                <w:szCs w:val="20"/>
                <w:color w:val="auto"/>
              </w:rPr>
            </w:pPr>
            <w:r>
              <w:rPr>
                <w:rFonts w:ascii="Arial" w:cs="Arial" w:eastAsia="Arial" w:hAnsi="Arial"/>
                <w:sz w:val="16"/>
                <w:szCs w:val="16"/>
                <w:color w:val="auto"/>
              </w:rPr>
              <w:t>June 30, 2020</w:t>
            </w:r>
          </w:p>
        </w:tc>
        <w:tc>
          <w:tcPr>
            <w:tcW w:w="182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December 31, 2019</w:t>
            </w:r>
          </w:p>
        </w:tc>
        <w:tc>
          <w:tcPr>
            <w:tcW w:w="160" w:type="dxa"/>
            <w:vAlign w:val="bottom"/>
          </w:tcPr>
          <w:p>
            <w:pPr>
              <w:spacing w:after="0"/>
              <w:rPr>
                <w:sz w:val="19"/>
                <w:szCs w:val="19"/>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Exercise Price</w:t>
            </w:r>
          </w:p>
        </w:tc>
        <w:tc>
          <w:tcPr>
            <w:tcW w:w="1780" w:type="dxa"/>
            <w:vAlign w:val="bottom"/>
            <w:gridSpan w:val="2"/>
          </w:tcPr>
          <w:p>
            <w:pPr>
              <w:jc w:val="right"/>
              <w:ind w:right="600"/>
              <w:spacing w:after="0"/>
              <w:rPr>
                <w:sz w:val="20"/>
                <w:szCs w:val="20"/>
                <w:color w:val="auto"/>
              </w:rPr>
            </w:pPr>
            <w:r>
              <w:rPr>
                <w:rFonts w:ascii="Arial" w:cs="Arial" w:eastAsia="Arial" w:hAnsi="Arial"/>
                <w:sz w:val="16"/>
                <w:szCs w:val="16"/>
                <w:color w:val="auto"/>
              </w:rPr>
              <w:t>June 30, 2020</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Exercisable Through</w:t>
            </w:r>
          </w:p>
        </w:tc>
        <w:tc>
          <w:tcPr>
            <w:tcW w:w="0" w:type="dxa"/>
            <w:vAlign w:val="bottom"/>
          </w:tcPr>
          <w:p>
            <w:pPr>
              <w:spacing w:after="0"/>
              <w:rPr>
                <w:sz w:val="1"/>
                <w:szCs w:val="1"/>
                <w:color w:val="auto"/>
              </w:rPr>
            </w:pPr>
          </w:p>
        </w:tc>
      </w:tr>
      <w:tr>
        <w:trPr>
          <w:trHeight w:val="203"/>
        </w:trPr>
        <w:tc>
          <w:tcPr>
            <w:tcW w:w="2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A (2013) (*)</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3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183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2,754.00</w:t>
            </w:r>
          </w:p>
        </w:tc>
        <w:tc>
          <w:tcPr>
            <w:tcW w:w="3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9, 2023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spacing w:after="0"/>
              <w:rPr>
                <w:sz w:val="20"/>
                <w:szCs w:val="20"/>
                <w:color w:val="auto"/>
              </w:rPr>
            </w:pPr>
            <w:r>
              <w:rPr>
                <w:rFonts w:ascii="Arial" w:cs="Arial" w:eastAsia="Arial" w:hAnsi="Arial"/>
                <w:sz w:val="16"/>
                <w:szCs w:val="16"/>
                <w:color w:val="auto"/>
              </w:rPr>
              <w:t>Series A (2015) (*)</w:t>
            </w: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683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1,377.00</w:t>
            </w:r>
          </w:p>
        </w:tc>
        <w:tc>
          <w:tcPr>
            <w:tcW w:w="320" w:type="dxa"/>
            <w:vAlign w:val="bottom"/>
          </w:tcPr>
          <w:p>
            <w:pPr>
              <w:spacing w:after="0"/>
              <w:rPr>
                <w:sz w:val="17"/>
                <w:szCs w:val="17"/>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April 30, 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 (2016) (a)(*)</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w:t>
            </w:r>
          </w:p>
        </w:tc>
        <w:tc>
          <w:tcPr>
            <w:tcW w:w="3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2,770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3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2,770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14, 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00" w:type="dxa"/>
            <w:vAlign w:val="bottom"/>
            <w:gridSpan w:val="2"/>
          </w:tcPr>
          <w:p>
            <w:pPr>
              <w:spacing w:after="0"/>
              <w:rPr>
                <w:sz w:val="20"/>
                <w:szCs w:val="20"/>
                <w:color w:val="auto"/>
              </w:rPr>
            </w:pPr>
            <w:r>
              <w:rPr>
                <w:rFonts w:ascii="Arial" w:cs="Arial" w:eastAsia="Arial" w:hAnsi="Arial"/>
                <w:sz w:val="16"/>
                <w:szCs w:val="16"/>
                <w:color w:val="auto"/>
              </w:rPr>
              <w:t>Warrant to underwriters 1.2019</w:t>
            </w: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22,767</w:t>
            </w:r>
          </w:p>
        </w:tc>
        <w:tc>
          <w:tcPr>
            <w:tcW w:w="36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22,767</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8.13</w:t>
            </w:r>
          </w:p>
        </w:tc>
        <w:tc>
          <w:tcPr>
            <w:tcW w:w="3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22,767</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July 14, 2022</w:t>
            </w:r>
          </w:p>
        </w:tc>
        <w:tc>
          <w:tcPr>
            <w:tcW w:w="0" w:type="dxa"/>
            <w:vAlign w:val="bottom"/>
          </w:tcPr>
          <w:p>
            <w:pPr>
              <w:spacing w:after="0"/>
              <w:rPr>
                <w:sz w:val="1"/>
                <w:szCs w:val="1"/>
                <w:color w:val="auto"/>
              </w:rPr>
            </w:pPr>
          </w:p>
        </w:tc>
      </w:tr>
      <w:tr>
        <w:trPr>
          <w:trHeight w:val="196"/>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 to underwriters 1.2019</w:t>
            </w: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29,500</w:t>
            </w: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29,500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29,500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15,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00" w:type="dxa"/>
            <w:vAlign w:val="bottom"/>
            <w:gridSpan w:val="2"/>
          </w:tcPr>
          <w:p>
            <w:pPr>
              <w:spacing w:after="0"/>
              <w:rPr>
                <w:sz w:val="20"/>
                <w:szCs w:val="20"/>
                <w:color w:val="auto"/>
              </w:rPr>
            </w:pPr>
            <w:r>
              <w:rPr>
                <w:rFonts w:ascii="Arial" w:cs="Arial" w:eastAsia="Arial" w:hAnsi="Arial"/>
                <w:sz w:val="16"/>
                <w:szCs w:val="16"/>
                <w:color w:val="auto"/>
              </w:rPr>
              <w:t>Warrant to underwriters 1.2019</w:t>
            </w: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12,500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12.50</w:t>
            </w:r>
          </w:p>
        </w:tc>
        <w:tc>
          <w:tcPr>
            <w:tcW w:w="3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January 15, 2020</w:t>
            </w:r>
          </w:p>
        </w:tc>
        <w:tc>
          <w:tcPr>
            <w:tcW w:w="0" w:type="dxa"/>
            <w:vAlign w:val="bottom"/>
          </w:tcPr>
          <w:p>
            <w:pPr>
              <w:spacing w:after="0"/>
              <w:rPr>
                <w:sz w:val="1"/>
                <w:szCs w:val="1"/>
                <w:color w:val="auto"/>
              </w:rPr>
            </w:pPr>
          </w:p>
        </w:tc>
      </w:tr>
      <w:tr>
        <w:trPr>
          <w:trHeight w:val="196"/>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 to underwriters 12.2019</w:t>
            </w: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45,643</w:t>
            </w: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45,643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27,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00" w:type="dxa"/>
            <w:vAlign w:val="bottom"/>
            <w:gridSpan w:val="2"/>
          </w:tcPr>
          <w:p>
            <w:pPr>
              <w:spacing w:after="0"/>
              <w:rPr>
                <w:sz w:val="20"/>
                <w:szCs w:val="20"/>
                <w:color w:val="auto"/>
              </w:rPr>
            </w:pPr>
            <w:r>
              <w:rPr>
                <w:rFonts w:ascii="Arial" w:cs="Arial" w:eastAsia="Arial" w:hAnsi="Arial"/>
                <w:sz w:val="16"/>
                <w:szCs w:val="16"/>
                <w:color w:val="auto"/>
              </w:rPr>
              <w:t>Warrant to underwriters 12.2019</w:t>
            </w: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47,619</w:t>
            </w:r>
          </w:p>
        </w:tc>
        <w:tc>
          <w:tcPr>
            <w:tcW w:w="36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47,619</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13.13</w:t>
            </w:r>
          </w:p>
        </w:tc>
        <w:tc>
          <w:tcPr>
            <w:tcW w:w="3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June 30, 2023</w:t>
            </w:r>
          </w:p>
        </w:tc>
        <w:tc>
          <w:tcPr>
            <w:tcW w:w="0" w:type="dxa"/>
            <w:vAlign w:val="bottom"/>
          </w:tcPr>
          <w:p>
            <w:pPr>
              <w:spacing w:after="0"/>
              <w:rPr>
                <w:sz w:val="1"/>
                <w:szCs w:val="1"/>
                <w:color w:val="auto"/>
              </w:rPr>
            </w:pPr>
          </w:p>
        </w:tc>
      </w:tr>
      <w:tr>
        <w:trPr>
          <w:trHeight w:val="196"/>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 to underwriters 12.2019</w:t>
            </w: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45,045</w:t>
            </w: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45,045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25,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80"/>
        <w:spacing w:after="0" w:line="255" w:lineRule="auto"/>
        <w:tabs>
          <w:tab w:leader="none" w:pos="125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to January 1, 2019, warrants with non-standard anti-dilution provisions (referred to as down round protection) were classified as liabilities and re-measured each reporting period. On January 1, 2019, the Company adopted the provisions of ASU 2017-11, which indicates that a down round feature no longer precludes equity classification when assessing whether an investment is indexed to an entity’s own stock. The Company used a full retrospective approach to adoption and restated its financial statements as of the earliest period presented. The cumulative effect of adoption of ASU 2017-11 resulted in an adjustment to accumulated deficit as of January 1, 2018 of $20 with a corresponding adjustment to additional paid-in capital.</w:t>
      </w:r>
    </w:p>
    <w:p>
      <w:pPr>
        <w:spacing w:after="0" w:line="192"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In December 2019, 125,000 outstanding warrants at an exercise price per share of $10.00, were exercised on a “net exercise” or “cashless” basis into 61,677 shares of common stock, and 125,000 outstanding warrants at an exercise price per share of $10.00, were exercised on a “net exercise” or “cashless” basis into 50,143 shares of common stock. All of such warrants were issued in January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SUBSEQUENT EVENTS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July 14, 2020, the Compensation Committee of the Board of Directors approved a grant of 25,000 stock options to an executive officer of the Company and 6,493 stock options to a director of the Company, each at an exercise price per share of $6.16. The stock options vest over a period of 3 years as outlined in the option agreements evidencing such grants.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2019.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2019.</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 (including certain CardioSert assets), are comprised of proprietary innovative technologies. Using the ViRob platform, Microbot is currently developing the Self Cleaning Shunt, or SCSTM,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37 issued/allowed patents and 15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Although the CardioSert technology was originally developed to support interventional cardiologists in crossing chronic total occlusions (CTO) during percutaneous coronary intervention (PCI) procedures, it has the potential to be used in other spaces and applications, such as neurosurgery.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Liberty is designed to maneuver guidewires, microcatheters and over-the-wire devices within the body’s vasculature. It eliminates the need for extensive capital equipment requiring dedicated Cath-lab rooms as well as dedicated staff. In addition, it is being designed to streamline Cath-lab procedures with our proprietary “One &amp; Done” tool that combines guidewire and microcatheter into a single device. With control over tip curvature and stiffness for maneuverability and access – and without the need for constant tool exchanges – the “One &amp; Done” feature of Liberty may drastically reduce procedure time and costs while enhancing the operator experience.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costs, professional fees for accounting, auditing, consulting and legal services, and allocated overhead expenses.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expects that its general and administrative expenses may increase in the future as it expands its operating activities, maintains and expands its patent portfolio and incurs costs associated with being a public company and maintaining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Microbot’s functional currency is the U.S. dollars, and its reporting currency is the U.S. dollar.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and Input Tax Credit Recoveries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from time to time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expenses consist primarily of salaries and related expenses and overhead for Microbot’s research, development and engineering personnel, prototype materials and research studies, and obtaining and maintaining Microbot’s patent portfolio. 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Six Months Ended June 30, 2020 and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 and six-month periods ended June 30, 2020 and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7"/>
              </w:rPr>
              <w:t>Six months ended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w w:val="88"/>
              </w:rPr>
              <w:t>June 30,</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Increase/</w:t>
            </w:r>
          </w:p>
        </w:tc>
        <w:tc>
          <w:tcPr>
            <w:tcW w:w="120" w:type="dxa"/>
            <w:vAlign w:val="bottom"/>
          </w:tcPr>
          <w:p>
            <w:pPr>
              <w:spacing w:after="0"/>
              <w:rPr>
                <w:sz w:val="20"/>
                <w:szCs w:val="20"/>
                <w:color w:val="auto"/>
              </w:rPr>
            </w:pPr>
          </w:p>
        </w:tc>
        <w:tc>
          <w:tcPr>
            <w:tcW w:w="12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Increase/</w:t>
            </w:r>
          </w:p>
        </w:tc>
      </w:tr>
      <w:tr>
        <w:trPr>
          <w:trHeight w:val="223"/>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2019</w:t>
            </w:r>
          </w:p>
        </w:tc>
        <w:tc>
          <w:tcPr>
            <w:tcW w:w="34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(Decrease)</w:t>
            </w:r>
          </w:p>
        </w:tc>
        <w:tc>
          <w:tcPr>
            <w:tcW w:w="12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19"/>
                <w:szCs w:val="19"/>
                <w:color w:val="auto"/>
              </w:rPr>
            </w:pPr>
          </w:p>
        </w:tc>
        <w:tc>
          <w:tcPr>
            <w:tcW w:w="10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(Decrease)</w:t>
            </w:r>
          </w:p>
        </w:tc>
      </w:tr>
      <w:tr>
        <w:trPr>
          <w:trHeight w:val="216"/>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1,360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1,364</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804</w:t>
            </w:r>
          </w:p>
        </w:tc>
        <w:tc>
          <w:tcPr>
            <w:tcW w:w="3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2,687</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2,097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expenses/(income), net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Microbot’s research and development expenses were approximately $669,000 and $1,360,000 for the three and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compared to approximately $741,000 and $1,364,000 for the same period in 2019. The decrease in research and development expenses of approximately $72,000 in 2020 was primarily due to a decrease during the three months ended June 30, 2020 of professional services relating to development expenses. Microbot expects its research and development expenses to continue to increase over time as Microbot advances its development programs and begins pre-clinical and clinical trials for its product candidates.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were approximately $1,215,000 and $2,687,000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compared to approximately $804,000 and $2,097,000 for the same period in 2019. The increase in general and administrative expenses of approximately $590,000 in the six months ended June 30, 2020 was primarily due increase in the salaries, insurance expenses, rent, share based compensation, offset by a decrease in professional services expenses relating to legal fees and travels expenses. Microbot believes its general and administrative expenses may increase over time as it advances its programs, increases its headcount and operating activities and incurs expenses associated with being a public company.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Financing Expenses</w:t>
      </w:r>
      <w:r>
        <w:rPr>
          <w:rFonts w:ascii="Arial" w:cs="Arial" w:eastAsia="Arial" w:hAnsi="Arial"/>
          <w:sz w:val="18"/>
          <w:szCs w:val="18"/>
          <w:color w:val="auto"/>
        </w:rPr>
        <w:t>. Financing income (expenses) were approximately $29,000 and $(13,000) for the three and six months ended June 30, 2020,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approximately $3,000 and $(42,000) for the same period in 2019. The decrease in financial income for the six months ended June 30, 2020 was primarily due to interest relating the litigation.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Microbot has incurred losses since inception and negative cash flows from operating activities for the three and six months ended June 30, 2020 and the fiscal year ended December 31, 2019. As of June 30, 2020, Microbot had a net working capital of approximately $27,917,000 consisting primarily of cash and cash equivalents. This compares to net working capital of approximately $31,110,000 as of December 31, 2019. Microbot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(“IIA”), and convertible debt. Since inception (November 2010) through June 30, 2020, Microbot has raised net cash proceeds of approximately $54,770,000, and incurred a total cumulative loss of approximately $39,171,000. Microbot recently returned $3,375,000 (before interest) of such proceeds as a result of an adverse outcome in a litigation that concluded in the six months ended June 30, 2020, and is now subject to an additional lawsuit seeking the return of an additional $6,750,000 (before interest) of such proceeds.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Microbot Israel obtained from the IIA grants for participation in research and development for the years 2013 through June 30, 2020 in the total amount of approximately $1,500,000 and, in return, Microbot Israel is obligated to pay royalties amounting to 3%-3.5% of its future sales up to the amount of the grant. The grant is linked to the exchange rate of the dollar to the New Israeli Shekel and bears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believes that its net cash will be sufficient to fund its operations for at least 24 months and fund operations necessary to continue development activities of its product candidates. However, in the event we are unsuccessful in our current litigation with certain investors, pursuant to which they are seeking the return of $6,750,000 (plus interest) in proceeds we received from them in a 2017 stock offering, we may have funds for less than 24 months. In either case, management believes that Microbot has sufficient net cash to fund its operations necessary to continue development activities of its current proposed products for at least 12 months from the issuance date of this Quarterly Report on Form 10-Q.</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Microbot plans to continue to fund its research and development and other operating expenses, other development activities relating to additional product candidates, and the associated losses from operations, through its existing cash and possibly additional grants from the IIA. Microbot may also raise capital through future issuances of debt and/or equity securities. These issuances may be opportunistic and even if the company has enough funds at such time for operations for more than 12-24 months.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460" w:type="dxa"/>
            <w:vAlign w:val="bottom"/>
            <w:gridSpan w:val="4"/>
          </w:tcPr>
          <w:p>
            <w:pPr>
              <w:spacing w:after="0"/>
              <w:rPr>
                <w:sz w:val="20"/>
                <w:szCs w:val="20"/>
                <w:color w:val="auto"/>
              </w:rPr>
            </w:pPr>
            <w:r>
              <w:rPr>
                <w:rFonts w:ascii="Arial" w:cs="Arial" w:eastAsia="Arial" w:hAnsi="Arial"/>
                <w:sz w:val="18"/>
                <w:szCs w:val="18"/>
                <w:color w:val="auto"/>
                <w:w w:val="97"/>
              </w:rPr>
              <w:t>The following table provides a summary of the net cash flow activity for each of the periods set forth below (in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Six months ended June 30,</w:t>
            </w:r>
          </w:p>
        </w:tc>
      </w:tr>
      <w:tr>
        <w:trPr>
          <w:trHeight w:val="236"/>
        </w:trPr>
        <w:tc>
          <w:tcPr>
            <w:tcW w:w="74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cash - in investing activities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2,445</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(2,496)</w:t>
            </w:r>
          </w:p>
        </w:tc>
      </w:tr>
      <w:tr>
        <w:trPr>
          <w:trHeight w:val="24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 financing activities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(3,375)</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9,562</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in operating activities for the six months ended June 30, 2020 was approximately $3,888,000, calculated by adjusting net loss from operations by approximately $172,000 to eliminate non-cash and expense items not involving cash flows such as depreciation and shares based compensation, as well as other changes in current assets and liabilities resulting in non-cash adjustments in the income statement. Cash used in operating activities for the six months ended June 30, 2019 was approximately $3,200,000, similarly adjusted by approximately $303,000.</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investing activities for the six months ended June 30, 2020 was approximately $2,445,000, compared to net cash used in investing activities of approximately $2,496,000 for the six months ended June 30, 2019, which consisted of primarily marketable securities.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financing activities of $3,375,000 for the six months ended June 30, 2020 compared to approximately $9,562,000 for the six months ended June 30, 2019 consisted of issuance of common stock and warrants and repayment of shareholders investments relating to litigation.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June 30, 2020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June 30, 2020. Based on that review and evaluation, the Chief Executive Officer and Chief Financial Officer, along with the management of the Company, have determined that as of June 30, 2020,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recently lost our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our June 8, 2017 equity financing (the “Financing”) was rescinded as it related to Sabby Healthcare Master Fund Ltd. and Sabby Volatility Warrant Master Fund Ltd. (“Sabby”), and we paid approximately $3.7 million to Sabby in return for the 83,333 (post-stock split) shares of common stock Sabby purchased from us pursuant to the SPA. Soon after, we were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we breached multiple representations and warranties contained in the SPA, of which the Plaintiffs participated, and fraudulently induced Plaintiffs into signing the SPA. The complaint seeks rescission of the SPA and return of the Plaintiffs’ $6.75 million purchase price with respect to the Financing. We filed a Motion to Dismiss on March 16, 2020, which Motion is pending before the Court. As a result of the adverse outcome with respect to the Sabby litigation, management is unable to assess the likelihood that we will succeed on our Motion to Dismiss, or at trial if we lose the Motion.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28, 2019, we brought an action against Alliance Investment Management, Ltd. (“Alliance”) in the Southern District of New York under Section 16(b) of the Securities Exchange Act of 1934, 15 U.S.C. 78p(b), to compel Alliance to disgorge short swing profits realized from purchases and sales of our securities within a period of less than six months, executed while Alliance reported beneficial ownership of more than 10% of our outstanding common stock and statutory “insider” status for purposes of the statute. The case is Microbot Medical Inc. v. Alliance Investment Management, Ltd., No. 19-cv-3782-GBD (SDNY). The amount of profits we are seeking to divest is estimated to be approximately $468,000.</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21, 2019, Alliance filed an answer to our action, claiming that an unnamed Alliance client was the “beneficial owner” of the shares reportedly held and traded by Alliance. On October 18, 21, and 28, 2019, Joseph Mona (“Mona”) filed Section 16(a) and Schedule 13G reports, which are substantially similar to the reports previously filed by Alliance. On October 28, 2019, Alliance filed a motion for summary judgment requesting that the Court dismiss the claims against Alliance in view of Mona’s SEC filings, which Alliance asserted revealed Mona as the client referenced in Alliance’s answer.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7, 2019, U.S. Magistrate Judge Robert W. Lehrburger ordered Alliance to produce relevant trading records, to enable us to determine whether to proceed against Alliance and/or Joseph Mona. Following Alliance’s production of Mona’s Microbot trading records, we filed a Second Amended Complaint on November 18, 2019, seeking to compel Alliance and/or Mona to disgorge profits realized from the trades they each separately reported. We continued to oppose Alliance’s Motion for Summary Judgment given Alliance’s refusal to confirm that the trades reported by Alliance referred exclusively to the trades executed in Mona’s account—and did not refer to duplicative trading executed by Alliance. Alliance’s Motion for Summary Judgment is pending.</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4, 2020, Mona answered the 16(b) claim we asserted against him by claiming various equitable defenses, and filed a counterclaim against Microbot under Section 10(b) of the Securities Exchange Act of 1934 and Rule 10b-5 promulgated thereunder. Mona admits to engaging in the reported short swing trading of Microbot stock while a 10% beneficial owner and statutory 16(b) insider of Microbot, but alleges that he was induced to buy the Microbot stock by various company misrepresentations. Mona claims a net loss on trading Microbot stock of $150,954.</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March 6, 2020 we filed a motion for judgment on our 16(b) claim against Mona, together with a motion to dismiss Mona’s 10(b) counterclaim. The motion was fully briefed as of April 26, 2020 and is pending. All parties are currently scheduled to appear in court on October 13, 2020.</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Mona’s counterclaim is without merit, and to intend to vigorously defend against Mona’s allegations. However, given that litigation is ongoing, management is unable to predict the outcome of the case, or the amount of damages, if any, that may be awarded on either our 16(b) claim, or on Mona’s 10(b) counterclaim.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hereby furnished to the SEC as part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4"/>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Certification of Harel Gadot, Chairman, President and Chief Executive Officer</w:t>
              </w:r>
            </w:hyperlink>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4"/>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 of David Ben Naim, Chief Financial Officer</w:t>
              </w:r>
            </w:hyperlink>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32.1</w:t>
            </w:r>
          </w:p>
        </w:tc>
        <w:tc>
          <w:tcPr>
            <w:tcW w:w="10260" w:type="dxa"/>
            <w:vAlign w:val="bottom"/>
            <w:tcBorders>
              <w:bottom w:val="single" w:sz="8" w:color="0000EE"/>
            </w:tcBorders>
            <w:gridSpan w:val="4"/>
          </w:tcPr>
          <w:p>
            <w:pPr>
              <w:spacing w:after="0" w:line="190"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Harel Gadot, Chairman, President and Chief Executive Officer, pursuant to 18 U.S.C. Section 1350, as adopted pursuant to</w:t>
              </w:r>
            </w:hyperlink>
          </w:p>
        </w:tc>
      </w:tr>
      <w:tr>
        <w:trPr>
          <w:trHeight w:val="196"/>
        </w:trPr>
        <w:tc>
          <w:tcPr>
            <w:tcW w:w="98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Section 906 of the Sarbanes-Oxley Act of 2002</w:t>
              </w:r>
            </w:hyperlink>
          </w:p>
        </w:tc>
        <w:tc>
          <w:tcPr>
            <w:tcW w:w="684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260" w:type="dxa"/>
            <w:vAlign w:val="bottom"/>
            <w:gridSpan w:val="4"/>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Certification of David Ben Naim, Chief Financial Officer, pursuant to 18 U.S.C. Section 1350, as adopted pursuant to Section 906 of the</w:t>
              </w:r>
            </w:hyperlink>
          </w:p>
        </w:tc>
      </w:tr>
      <w:tr>
        <w:trPr>
          <w:trHeight w:val="196"/>
        </w:trPr>
        <w:tc>
          <w:tcPr>
            <w:tcW w:w="98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Sarbanes-Oxley Act of 2002</w:t>
              </w:r>
            </w:hyperlink>
          </w:p>
        </w:tc>
        <w:tc>
          <w:tcPr>
            <w:tcW w:w="81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0260" w:type="dxa"/>
            <w:vAlign w:val="bottom"/>
            <w:gridSpan w:val="4"/>
          </w:tcPr>
          <w:p>
            <w:pPr>
              <w:spacing w:after="0"/>
              <w:rPr>
                <w:sz w:val="20"/>
                <w:szCs w:val="20"/>
                <w:color w:val="auto"/>
              </w:rPr>
            </w:pPr>
            <w:r>
              <w:rPr>
                <w:rFonts w:ascii="Arial" w:cs="Arial" w:eastAsia="Arial" w:hAnsi="Arial"/>
                <w:sz w:val="18"/>
                <w:szCs w:val="18"/>
                <w:color w:val="auto"/>
              </w:rPr>
              <w:t>XBRL Instance.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4"/>
          </w:tcPr>
          <w:p>
            <w:pPr>
              <w:spacing w:after="0"/>
              <w:rPr>
                <w:sz w:val="20"/>
                <w:szCs w:val="20"/>
                <w:color w:val="auto"/>
              </w:rPr>
            </w:pPr>
            <w:r>
              <w:rPr>
                <w:rFonts w:ascii="Arial" w:cs="Arial" w:eastAsia="Arial" w:hAnsi="Arial"/>
                <w:sz w:val="18"/>
                <w:szCs w:val="18"/>
                <w:color w:val="auto"/>
              </w:rPr>
              <w:t>XBRL Taxonomy Extension Calculation.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4"/>
          </w:tcPr>
          <w:p>
            <w:pPr>
              <w:spacing w:after="0"/>
              <w:rPr>
                <w:sz w:val="20"/>
                <w:szCs w:val="20"/>
                <w:color w:val="auto"/>
              </w:rPr>
            </w:pPr>
            <w:r>
              <w:rPr>
                <w:rFonts w:ascii="Arial" w:cs="Arial" w:eastAsia="Arial" w:hAnsi="Arial"/>
                <w:sz w:val="18"/>
                <w:szCs w:val="18"/>
                <w:color w:val="auto"/>
              </w:rPr>
              <w:t>XBRL Taxonomy Extension Definition.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4"/>
          </w:tcPr>
          <w:p>
            <w:pPr>
              <w:spacing w:after="0"/>
              <w:rPr>
                <w:sz w:val="20"/>
                <w:szCs w:val="20"/>
                <w:color w:val="auto"/>
              </w:rPr>
            </w:pPr>
            <w:r>
              <w:rPr>
                <w:rFonts w:ascii="Arial" w:cs="Arial" w:eastAsia="Arial" w:hAnsi="Arial"/>
                <w:sz w:val="18"/>
                <w:szCs w:val="18"/>
                <w:color w:val="auto"/>
              </w:rPr>
              <w:t>XBRL Taxonomy Extension Labels.</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w:t>
            </w:r>
          </w:p>
        </w:tc>
      </w:tr>
      <w:tr>
        <w:trPr>
          <w:trHeight w:val="439"/>
        </w:trPr>
        <w:tc>
          <w:tcPr>
            <w:tcW w:w="9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3"/>
          </w:tcPr>
          <w:p>
            <w:pPr>
              <w:ind w:left="456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2020.</w:t>
      </w:r>
    </w:p>
    <w:p>
      <w:pPr>
        <w:spacing w:after="0" w:line="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Ben Naim</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June 30, 2020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14, 2020</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David Ben Naim, Chief Financial Officer of Microbot Medical Inc., hereby certify, pursuant to 18 U.S.C. Section 1350, as adopted pursuant to Section 906 of the Sarbanes-Oxley Act of 2002, that to my knowledge, the quarterly report on Form 10-Q for the period ending June 30, 2020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14, 2020</w:t>
      </w:r>
      <w:r>
        <w:rPr>
          <w:sz w:val="20"/>
          <w:szCs w:val="20"/>
          <w:color w:val="auto"/>
        </w:rPr>
        <w:tab/>
      </w:r>
      <w:r>
        <w:rPr>
          <w:rFonts w:ascii="Arial" w:cs="Arial" w:eastAsia="Arial" w:hAnsi="Arial"/>
          <w:sz w:val="16"/>
          <w:szCs w:val="16"/>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Ben Naim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2020-08-14T12:14:42Z</dcterms:created>
  <dcterms:modified xsi:type="dcterms:W3CDTF">2020-08-14T12:14:42Z</dcterms:modified>
</cp:coreProperties>
</file>