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1998</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0-19871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16" w:lineRule="exact"/>
        <w:rPr>
          <w:sz w:val="24"/>
          <w:szCs w:val="24"/>
          <w:color w:val="auto"/>
        </w:rPr>
      </w:pPr>
    </w:p>
    <w:p>
      <w:pPr>
        <w:sectPr>
          <w:pgSz w:w="11900" w:h="16838" w:orient="portrait"/>
          <w:cols w:equalWidth="0" w:num="2">
            <w:col w:w="4340" w:space="720"/>
            <w:col w:w="5159"/>
          </w:cols>
          <w:pgMar w:left="240" w:top="649" w:right="1440" w:bottom="1440" w:gutter="0" w:footer="0" w:header="0"/>
          <w:type w:val="continuous"/>
        </w:sect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94-3078125</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500" w:space="720"/>
            <w:col w:w="3999"/>
          </w:cols>
          <w:pgMar w:left="240" w:top="649" w:right="1440" w:bottom="144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1679"/>
        <w:spacing w:after="0" w:line="238" w:lineRule="auto"/>
        <w:rPr>
          <w:sz w:val="20"/>
          <w:szCs w:val="20"/>
          <w:color w:val="auto"/>
        </w:rPr>
      </w:pPr>
      <w:r>
        <w:rPr>
          <w:rFonts w:ascii="Courier New" w:cs="Courier New" w:eastAsia="Courier New" w:hAnsi="Courier New"/>
          <w:sz w:val="18"/>
          <w:szCs w:val="18"/>
          <w:color w:val="auto"/>
        </w:rPr>
        <w:t>LINCOLN, RI 02865</w:t>
      </w:r>
    </w:p>
    <w:p>
      <w:pPr>
        <w:jc w:val="center"/>
        <w:ind w:right="1679"/>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288-1000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rPr>
          <w:sz w:val="20"/>
          <w:szCs w:val="20"/>
          <w:color w:val="auto"/>
        </w:rPr>
      </w:pPr>
      <w:r>
        <w:rPr>
          <w:rFonts w:ascii="Courier New" w:cs="Courier New" w:eastAsia="Courier New" w:hAnsi="Courier New"/>
          <w:sz w:val="18"/>
          <w:szCs w:val="18"/>
          <w:color w:val="auto"/>
        </w:rPr>
        <w:t>Yes___X____ No_________</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At April 30, 1998, there were 18,277,656 shares of Common Stock, $.01 par value, issued and outstanding. There were no issued and outstanding shares of Preferred Stock.</w:t>
      </w: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15</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620" w:type="dxa"/>
            <w:vAlign w:val="bottom"/>
            <w:gridSpan w:val="2"/>
          </w:tcPr>
          <w:p>
            <w:pPr>
              <w:jc w:val="right"/>
              <w:ind w:right="2012"/>
              <w:spacing w:after="0"/>
              <w:rPr>
                <w:sz w:val="20"/>
                <w:szCs w:val="20"/>
                <w:color w:val="auto"/>
              </w:rPr>
            </w:pPr>
            <w:r>
              <w:rPr>
                <w:rFonts w:ascii="Courier New" w:cs="Courier New" w:eastAsia="Courier New" w:hAnsi="Courier New"/>
                <w:sz w:val="18"/>
                <w:szCs w:val="18"/>
                <w:color w:val="auto"/>
              </w:rPr>
              <w:t>CYTOTHERAPEUTICS, INC.</w:t>
            </w:r>
          </w:p>
        </w:tc>
        <w:tc>
          <w:tcPr>
            <w:tcW w:w="11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4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INDEX</w:t>
            </w: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4260" w:type="dxa"/>
            <w:vAlign w:val="bottom"/>
          </w:tcPr>
          <w:p>
            <w:pPr>
              <w:jc w:val="right"/>
              <w:ind w:right="1872"/>
              <w:spacing w:after="0"/>
              <w:rPr>
                <w:sz w:val="20"/>
                <w:szCs w:val="20"/>
                <w:color w:val="auto"/>
              </w:rPr>
            </w:pPr>
            <w:r>
              <w:rPr>
                <w:rFonts w:ascii="Courier New" w:cs="Courier New" w:eastAsia="Courier New" w:hAnsi="Courier New"/>
                <w:sz w:val="18"/>
                <w:szCs w:val="18"/>
                <w:color w:val="auto"/>
              </w:rPr>
              <w:t>FINANCIAL INFORMATION</w:t>
            </w:r>
          </w:p>
        </w:tc>
        <w:tc>
          <w:tcPr>
            <w:tcW w:w="3520" w:type="dxa"/>
            <w:vAlign w:val="bottom"/>
            <w:gridSpan w:val="2"/>
          </w:tcPr>
          <w:p>
            <w:pPr>
              <w:ind w:left="2160"/>
              <w:spacing w:after="0"/>
              <w:rPr>
                <w:sz w:val="20"/>
                <w:szCs w:val="20"/>
                <w:color w:val="auto"/>
              </w:rPr>
            </w:pPr>
            <w:r>
              <w:rPr>
                <w:rFonts w:ascii="Courier New" w:cs="Courier New" w:eastAsia="Courier New" w:hAnsi="Courier New"/>
                <w:sz w:val="18"/>
                <w:szCs w:val="18"/>
                <w:color w:val="auto"/>
              </w:rPr>
              <w:t>Page Number</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260" w:type="dxa"/>
            <w:vAlign w:val="bottom"/>
          </w:tcPr>
          <w:p>
            <w:pPr>
              <w:ind w:left="420"/>
              <w:spacing w:after="0"/>
              <w:rPr>
                <w:sz w:val="20"/>
                <w:szCs w:val="20"/>
                <w:color w:val="auto"/>
              </w:rPr>
            </w:pPr>
            <w:r>
              <w:rPr>
                <w:rFonts w:ascii="Courier New" w:cs="Courier New" w:eastAsia="Courier New" w:hAnsi="Courier New"/>
                <w:sz w:val="18"/>
                <w:szCs w:val="18"/>
                <w:color w:val="auto"/>
              </w:rPr>
              <w:t>Financial Statements</w:t>
            </w: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6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Condensed Consolidated Balance Sheets (unaudited)</w:t>
            </w: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620" w:type="dxa"/>
            <w:vAlign w:val="bottom"/>
            <w:gridSpan w:val="2"/>
          </w:tcPr>
          <w:p>
            <w:pPr>
              <w:jc w:val="right"/>
              <w:ind w:right="2012"/>
              <w:spacing w:after="0" w:line="203" w:lineRule="exact"/>
              <w:rPr>
                <w:sz w:val="20"/>
                <w:szCs w:val="20"/>
                <w:color w:val="auto"/>
              </w:rPr>
            </w:pPr>
            <w:r>
              <w:rPr>
                <w:rFonts w:ascii="Courier New" w:cs="Courier New" w:eastAsia="Courier New" w:hAnsi="Courier New"/>
                <w:sz w:val="18"/>
                <w:szCs w:val="18"/>
                <w:color w:val="auto"/>
              </w:rPr>
              <w:t>March 31, 1998 and December 31, 1997</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860" w:type="dxa"/>
            <w:vAlign w:val="bottom"/>
          </w:tcPr>
          <w:p>
            <w:pPr>
              <w:spacing w:after="0"/>
              <w:rPr>
                <w:sz w:val="24"/>
                <w:szCs w:val="24"/>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 Statements of</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Operations (unaudited)</w:t>
            </w: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 March 31, 1998</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1997</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spacing w:after="0"/>
              <w:rPr>
                <w:sz w:val="24"/>
                <w:szCs w:val="24"/>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 Statements of</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Cash Flows (unaudited)</w:t>
            </w: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 March 31, 1998</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1997</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r>
    </w:tbl>
    <w:p>
      <w:pPr>
        <w:spacing w:after="0" w:line="201" w:lineRule="exact"/>
        <w:rPr>
          <w:sz w:val="20"/>
          <w:szCs w:val="20"/>
          <w:color w:val="auto"/>
        </w:rPr>
      </w:pPr>
    </w:p>
    <w:p>
      <w:pPr>
        <w:ind w:left="1280"/>
        <w:spacing w:after="0"/>
        <w:tabs>
          <w:tab w:leader="none" w:pos="8200" w:val="left"/>
        </w:tabs>
        <w:rPr>
          <w:sz w:val="20"/>
          <w:szCs w:val="20"/>
          <w:color w:val="auto"/>
        </w:rPr>
      </w:pPr>
      <w:r>
        <w:rPr>
          <w:rFonts w:ascii="Courier New" w:cs="Courier New" w:eastAsia="Courier New" w:hAnsi="Courier New"/>
          <w:sz w:val="18"/>
          <w:szCs w:val="18"/>
          <w:color w:val="auto"/>
        </w:rPr>
        <w:t>Notes to Condensed Consolidated Financial Statements (unaudited)</w:t>
        <w:tab/>
        <w:t>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520" w:type="dxa"/>
            <w:vAlign w:val="bottom"/>
          </w:tcPr>
          <w:p>
            <w:pPr>
              <w:ind w:left="220"/>
              <w:spacing w:after="0"/>
              <w:rPr>
                <w:sz w:val="20"/>
                <w:szCs w:val="20"/>
                <w:color w:val="auto"/>
              </w:rPr>
            </w:pPr>
            <w:r>
              <w:rPr>
                <w:rFonts w:ascii="Courier New" w:cs="Courier New" w:eastAsia="Courier New" w:hAnsi="Courier New"/>
                <w:sz w:val="18"/>
                <w:szCs w:val="18"/>
                <w:color w:val="auto"/>
                <w:w w:val="98"/>
              </w:rPr>
              <w:t>Management's</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Discussion and Analysis of Financial</w:t>
            </w:r>
          </w:p>
        </w:tc>
        <w:tc>
          <w:tcPr>
            <w:tcW w:w="11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Condition</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7-13</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OTHER INFORMATION</w:t>
            </w:r>
          </w:p>
        </w:tc>
        <w:tc>
          <w:tcPr>
            <w:tcW w:w="1160" w:type="dxa"/>
            <w:vAlign w:val="bottom"/>
          </w:tcPr>
          <w:p>
            <w:pPr>
              <w:spacing w:after="0"/>
              <w:rPr>
                <w:sz w:val="24"/>
                <w:szCs w:val="24"/>
                <w:color w:val="auto"/>
              </w:rPr>
            </w:pPr>
          </w:p>
        </w:tc>
      </w:tr>
      <w:tr>
        <w:trPr>
          <w:trHeight w:val="203"/>
        </w:trPr>
        <w:tc>
          <w:tcPr>
            <w:tcW w:w="7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1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Legal Proceedings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520" w:type="dxa"/>
            <w:vAlign w:val="bottom"/>
          </w:tcPr>
          <w:p>
            <w:pPr>
              <w:ind w:left="220"/>
              <w:spacing w:after="0"/>
              <w:rPr>
                <w:sz w:val="20"/>
                <w:szCs w:val="20"/>
                <w:color w:val="auto"/>
              </w:rPr>
            </w:pPr>
            <w:r>
              <w:rPr>
                <w:rFonts w:ascii="Courier New" w:cs="Courier New" w:eastAsia="Courier New" w:hAnsi="Courier New"/>
                <w:sz w:val="18"/>
                <w:szCs w:val="18"/>
                <w:color w:val="auto"/>
                <w:w w:val="98"/>
              </w:rPr>
              <w:t>Exhibits and</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Reports on Form 8-K</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15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608"/>
        </w:trPr>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0" w:type="dxa"/>
            <w:vAlign w:val="bottom"/>
          </w:tcPr>
          <w:p>
            <w:pPr>
              <w:ind w:left="1000"/>
              <w:spacing w:after="0"/>
              <w:rPr>
                <w:sz w:val="20"/>
                <w:szCs w:val="20"/>
                <w:color w:val="auto"/>
              </w:rPr>
            </w:pPr>
            <w:r>
              <w:rPr>
                <w:rFonts w:ascii="Courier New" w:cs="Courier New" w:eastAsia="Courier New" w:hAnsi="Courier New"/>
                <w:sz w:val="18"/>
                <w:szCs w:val="18"/>
                <w:color w:val="auto"/>
              </w:rPr>
              <w:t>Page 2 of 15</w:t>
            </w:r>
          </w:p>
        </w:tc>
        <w:tc>
          <w:tcPr>
            <w:tcW w:w="1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March 31, 1998</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9"/>
              </w:rPr>
              <w:t>December 31, 1997</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(unaudited)</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$14,384,717</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$15,941,701</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9,771,672</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13,108,497</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Receivables from collaborative agreement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186,906</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150,880</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1,169,922</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978,314</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25,513,217</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30,179,392</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7,785,061</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7,922,751</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6,388,486</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6,199,323</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ind w:left="960"/>
              <w:spacing w:after="0"/>
              <w:rPr>
                <w:sz w:val="20"/>
                <w:szCs w:val="20"/>
                <w:color w:val="auto"/>
              </w:rPr>
            </w:pPr>
            <w:r>
              <w:rPr>
                <w:rFonts w:ascii="Courier New" w:cs="Courier New" w:eastAsia="Courier New" w:hAnsi="Courier New"/>
                <w:sz w:val="18"/>
                <w:szCs w:val="18"/>
                <w:color w:val="auto"/>
              </w:rPr>
              <w:t>Total assets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$39,686,764</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$44,301,466</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$3,032,487</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$4,109,351</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14,862</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16,144</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Current maturities of capitalized lease obligations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375,184</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419,095</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Current maturities of long term debt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630,977</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658,986</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4,053,510</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5,203,576</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less current maturities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3,481,250</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3,552,500</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debt, less current maturities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457,695</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555,525</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Redeemable stock</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5,248,610</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5,583,110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Common stock to be issued</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48,375</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506,600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176,749</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175,262</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122,420,640</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121,472,844</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(94,554,791)</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(91,036,254)</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(1,641,134)</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(1,702,820)</w:t>
            </w: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Unrealized loss on marketable securities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(4,140)</w:t>
            </w:r>
          </w:p>
        </w:tc>
        <w:tc>
          <w:tcPr>
            <w:tcW w:w="1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(8,877)</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26,397,324</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28,900,155</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ind w:left="96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$39,686,764</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$44,301,466</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15</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38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640" w:type="dxa"/>
            <w:vAlign w:val="bottom"/>
          </w:tcPr>
          <w:p>
            <w:pPr>
              <w:spacing w:after="0"/>
              <w:rPr>
                <w:sz w:val="17"/>
                <w:szCs w:val="17"/>
                <w:color w:val="auto"/>
              </w:rPr>
            </w:pPr>
          </w:p>
        </w:tc>
        <w:tc>
          <w:tcPr>
            <w:tcW w:w="380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1998</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Revenue from collaborative arrangements</w:t>
            </w:r>
          </w:p>
        </w:tc>
        <w:tc>
          <w:tcPr>
            <w:tcW w:w="2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$1,842,975</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$1,856,622</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4,499,662</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4,649,500</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1,147,006</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1,796,430</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5,646,668</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6,445,930</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Loss from operations</w:t>
            </w:r>
          </w:p>
        </w:tc>
        <w:tc>
          <w:tcPr>
            <w:tcW w:w="2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(3,803,693)</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(4,589,308)</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393,974</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648,630</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(108,818)</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(175,511)</w:t>
            </w:r>
          </w:p>
        </w:tc>
      </w:tr>
      <w:tr>
        <w:trPr>
          <w:trHeight w:val="203"/>
        </w:trPr>
        <w:tc>
          <w:tcPr>
            <w:tcW w:w="4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Currency loss</w:t>
            </w: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(95,420)</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285,156</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377,699</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2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($3,518,537)</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($4,211,609)</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loss per share</w:t>
            </w:r>
          </w:p>
        </w:tc>
        <w:tc>
          <w:tcPr>
            <w:tcW w:w="2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($0.19)</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($0.26)</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Shares used in calculation</w:t>
            </w:r>
          </w:p>
        </w:tc>
        <w:tc>
          <w:tcPr>
            <w:tcW w:w="2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18,184,474</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16,471,203</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15</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32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(unaudited)</w:t>
            </w:r>
          </w:p>
        </w:tc>
        <w:tc>
          <w:tcPr>
            <w:tcW w:w="32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($3,518,537)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($4,211,609)</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 loss to</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used for operating activities: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525,620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476,337</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Foreign currency loss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95,049</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Compensation expense relating to the grant</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of stock options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61,686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15,311</w:t>
            </w:r>
          </w:p>
        </w:tc>
      </w:tr>
      <w:tr>
        <w:trPr>
          <w:trHeight w:val="203"/>
        </w:trPr>
        <w:tc>
          <w:tcPr>
            <w:tcW w:w="6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(1,459,414)</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843,865</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(4,390,645)</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(2,781,047)</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10,056,212</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4,801,463</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Purchases of marketable 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(6,716,668)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(4,999,820)</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 of property, plant and equipment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(267,583)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(1,772,590)</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other assets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(153,858)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(430,973)</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by (used in) investing activities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2,918,103</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(2,401,920)</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the exercise of stock options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156,558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297,651</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financing transactions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Principal payments under capitalized lease obligations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mortgage payable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(282,503)</w:t>
            </w:r>
          </w:p>
        </w:tc>
      </w:tr>
      <w:tr>
        <w:trPr>
          <w:trHeight w:val="203"/>
        </w:trPr>
        <w:tc>
          <w:tcPr>
            <w:tcW w:w="6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(84,442)</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15,148</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on cash and cash equivalents</w:t>
            </w:r>
          </w:p>
        </w:tc>
        <w:tc>
          <w:tcPr>
            <w:tcW w:w="168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(210,976)</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cash and cash equivalents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(1,556,984)</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(5,378,795)</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1</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15,941,701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19,921,584</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Cash and cash equivalents, March 31</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$14,384,717</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$14,542,789</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15</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38" w:lineRule="auto"/>
        <w:rPr>
          <w:sz w:val="20"/>
          <w:szCs w:val="20"/>
          <w:color w:val="auto"/>
        </w:rPr>
      </w:pPr>
      <w:r>
        <w:rPr>
          <w:rFonts w:ascii="Courier New" w:cs="Courier New" w:eastAsia="Courier New" w:hAnsi="Courier New"/>
          <w:sz w:val="18"/>
          <w:szCs w:val="18"/>
          <w:color w:val="auto"/>
        </w:rPr>
        <w:t>March 31, 1998 and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BASIS OF PRESENTATION</w:t>
      </w:r>
    </w:p>
    <w:p>
      <w:pPr>
        <w:spacing w:after="0" w:line="207" w:lineRule="exact"/>
        <w:rPr>
          <w:sz w:val="20"/>
          <w:szCs w:val="20"/>
          <w:color w:val="auto"/>
        </w:rPr>
      </w:pPr>
    </w:p>
    <w:p>
      <w:pPr>
        <w:ind w:left="640" w:right="1879"/>
        <w:spacing w:after="0" w:line="270"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1998 are not necessarily indicative of the results that may be expected for the entire fiscal year ended December 31, 1998.</w:t>
      </w:r>
    </w:p>
    <w:p>
      <w:pPr>
        <w:spacing w:after="0" w:line="38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For further information, refer to the audited financial statements and footnotes thereto as of December 31, 1997 included in the Company's Annual Report to Stockholders and the Annual Report on Form 10-K filed with the Securities and Exchange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NET LOSS PER SHARE</w:t>
      </w:r>
    </w:p>
    <w:p>
      <w:pPr>
        <w:spacing w:after="0" w:line="207" w:lineRule="exact"/>
        <w:rPr>
          <w:sz w:val="20"/>
          <w:szCs w:val="20"/>
          <w:color w:val="auto"/>
        </w:rPr>
      </w:pPr>
    </w:p>
    <w:p>
      <w:pPr>
        <w:ind w:left="640" w:right="1779"/>
        <w:spacing w:after="0" w:line="236" w:lineRule="auto"/>
        <w:rPr>
          <w:sz w:val="20"/>
          <w:szCs w:val="20"/>
          <w:color w:val="auto"/>
        </w:rPr>
      </w:pPr>
      <w:r>
        <w:rPr>
          <w:rFonts w:ascii="Courier New" w:cs="Courier New" w:eastAsia="Courier New" w:hAnsi="Courier New"/>
          <w:sz w:val="18"/>
          <w:szCs w:val="18"/>
          <w:color w:val="auto"/>
        </w:rPr>
        <w:t>Net loss per share is computed using the weighted average number of shares of common stock outstanding. Common equivalent shares from stock options and warrants are excluded as their effect is antidilutive.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ADOPTION OF NEW ACCOUNTING PRONOUNCEMENT</w:t>
      </w:r>
    </w:p>
    <w:p>
      <w:pPr>
        <w:spacing w:after="0" w:line="207" w:lineRule="exact"/>
        <w:rPr>
          <w:sz w:val="20"/>
          <w:szCs w:val="20"/>
          <w:color w:val="auto"/>
        </w:rPr>
      </w:pPr>
    </w:p>
    <w:p>
      <w:pPr>
        <w:ind w:left="640" w:right="1779"/>
        <w:spacing w:after="0" w:line="271" w:lineRule="auto"/>
        <w:rPr>
          <w:sz w:val="20"/>
          <w:szCs w:val="20"/>
          <w:color w:val="auto"/>
        </w:rPr>
      </w:pPr>
      <w:r>
        <w:rPr>
          <w:rFonts w:ascii="Courier New" w:cs="Courier New" w:eastAsia="Courier New" w:hAnsi="Courier New"/>
          <w:sz w:val="16"/>
          <w:szCs w:val="16"/>
          <w:color w:val="auto"/>
        </w:rPr>
        <w:t>As of January 1, 1998, the Company adopted Statement 130, Reporting Comprehensive Income. Statement 130 establishes new rules for reporting and display of comprehensive income and its components; however, the adoption of this Statement had no impact on the Company's net income or shareholders' equity. Statement 130 requires unrealized gains or losses on the Company's available-for-sale securities and foreign currency translation adjustments, which prior to adoption were reported seperately in shareholders' equity to be included in other comprhensive income.</w:t>
      </w:r>
    </w:p>
    <w:p>
      <w:pPr>
        <w:spacing w:after="0" w:line="186" w:lineRule="exact"/>
        <w:rPr>
          <w:sz w:val="20"/>
          <w:szCs w:val="20"/>
          <w:color w:val="auto"/>
        </w:rPr>
      </w:pPr>
    </w:p>
    <w:p>
      <w:pPr>
        <w:ind w:left="640" w:right="2519"/>
        <w:spacing w:after="0" w:line="235" w:lineRule="auto"/>
        <w:rPr>
          <w:sz w:val="20"/>
          <w:szCs w:val="20"/>
          <w:color w:val="auto"/>
        </w:rPr>
      </w:pPr>
      <w:r>
        <w:rPr>
          <w:rFonts w:ascii="Courier New" w:cs="Courier New" w:eastAsia="Courier New" w:hAnsi="Courier New"/>
          <w:sz w:val="18"/>
          <w:szCs w:val="18"/>
          <w:color w:val="auto"/>
        </w:rPr>
        <w:t>During the first quarter of 1998 and 1997, total comprehensive loss amounted to $3,514,000 and $4,307,000.</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15</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discussion of the financial condition and results of operations of the Company for the three months ended March 31, 1998 and 1997 should be read in conjunction with the accompanying unaudited condensed consolidated financial statements and the related footnotes thereto.</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report may contain certain forward-looking statements regarding, among other things, the Company's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Three months ended March 31, 1998 and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quarter ended March 31, 1998 and 1997, revenues from collaborative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15</w:t>
      </w:r>
    </w:p>
    <w:p>
      <w:pPr>
        <w:sectPr>
          <w:pgSz w:w="11900" w:h="16838" w:orient="portrait"/>
          <w:cols w:equalWidth="0" w:num="1">
            <w:col w:w="10219"/>
          </w:cols>
          <w:pgMar w:left="240" w:top="717" w:right="1440" w:bottom="1440" w:gutter="0" w:footer="0" w:header="0"/>
        </w:sectPr>
      </w:pPr>
    </w:p>
    <w:bookmarkStart w:id="7" w:name="page8"/>
    <w:bookmarkEnd w:id="7"/>
    <w:p>
      <w:pPr>
        <w:ind w:right="1779"/>
        <w:spacing w:after="0" w:line="236" w:lineRule="auto"/>
        <w:rPr>
          <w:sz w:val="20"/>
          <w:szCs w:val="20"/>
          <w:color w:val="auto"/>
        </w:rPr>
      </w:pPr>
      <w:r>
        <w:rPr>
          <w:rFonts w:ascii="Courier New" w:cs="Courier New" w:eastAsia="Courier New" w:hAnsi="Courier New"/>
          <w:sz w:val="18"/>
          <w:szCs w:val="18"/>
          <w:color w:val="auto"/>
        </w:rPr>
        <w:t>agreements totaled $1,843,000 and $1,857,000, respectively. The revenues were earned solely from a Development, Marketing and License Agreement with Astra AB, which was signed in March 1995.</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Research and development expenses totaled $4,500,000 for the three months ended March 31, 1998, compared with $4,650,000 for the same period in 1997.</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General and administrative expenses were $1,147,000 for the three months ended March 31, 1998, compared with $1,796,000 for the same period in 1997. The decrease of $649,000, or 36%, from 1997 to 1998 was primarily attributable to a reduction in legal expenses as well as a reduction in employee expenses.</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income for the three months ended March 31, 1998 and 1997 was $394,000 and $649,000, respectively. The decrease in interest income in 1998 is attributable to the lower average investment balances, $26,696,00 vs. $40,393,000 in the first quarter of 1998 and 1997, respectively.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Interest expense was $109,000 for the three months ended March 31, 1998, compared with $176,000 for the same period in 1997. The decrease from 1998 to 1997 was attributable to lower outstanding debt and capital lease balances in 1998 compared to 1997.</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Net loss for the three months ended March 31, 1998 was $3,519,000, or $0.19 per share, as compared to net loss of $4,212,000, or $0.26 per share, for the comparable period in 1997. The consolidated results for the first quarter of 1998 include a $233,000 net loss attributable to StemCells, Inc., the Company's wholly owned subsidiary in California, compared to the consolidated results for the first quarter of 1997 which include a $431,000 net loss attributable to Modex Therapeutiques SA, the Company's former 50% owned Swiss subsidiary.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had unrestricted cash, cash equivalents and marketable securities totaling $24,156,000 at March 31, 1998. Cash equivalents and marketable securities are invested in agencies of the U.S. government, investment grade corporate bonds and money market funds.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15</w:t>
      </w:r>
    </w:p>
    <w:p>
      <w:pPr>
        <w:sectPr>
          <w:pgSz w:w="11900" w:h="16838" w:orient="portrait"/>
          <w:cols w:equalWidth="0" w:num="1">
            <w:col w:w="10219"/>
          </w:cols>
          <w:pgMar w:left="240" w:top="723" w:right="1440" w:bottom="1440" w:gutter="0" w:footer="0" w:header="0"/>
        </w:sectPr>
      </w:pPr>
    </w:p>
    <w:bookmarkStart w:id="8" w:name="page9"/>
    <w:bookmarkEnd w:id="8"/>
    <w:p>
      <w:pPr>
        <w:ind w:right="1879"/>
        <w:spacing w:after="0" w:line="268" w:lineRule="auto"/>
        <w:rPr>
          <w:sz w:val="20"/>
          <w:szCs w:val="20"/>
          <w:color w:val="auto"/>
        </w:rPr>
      </w:pPr>
      <w:r>
        <w:rPr>
          <w:rFonts w:ascii="Courier New" w:cs="Courier New" w:eastAsia="Courier New" w:hAnsi="Courier New"/>
          <w:sz w:val="16"/>
          <w:szCs w:val="16"/>
          <w:color w:val="auto"/>
        </w:rPr>
        <w:t>In May 1996, the Company secured an equipment loan facility with a bank in the amount of $2,000,000. The Company has borrowed $741,000 under this agreement as of March 31, 1998. The loan requires interest payments only for the first</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two years; principal payments are payable over a three-year period beginning May 1998. Any unused commitment expires on May 15, 1998. The loan is secured by equipment purchased with the proceeds of the credit facility.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1997, the Company completed a series of transactions which resulted in the establishment of its previously 50%-owned Swiss subsidiary, Modex Therapeutiques, SA,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 of $3,387,000 and will account for its now 25% ownership interest under the equity method.</w:t>
      </w:r>
    </w:p>
    <w:p>
      <w:pPr>
        <w:spacing w:after="0" w:line="21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 In addition to their purchase of Modex Common Stock from the Company, the investors participating in the transaction, invested $1.6 million directly in Modex.</w:t>
      </w: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15</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In September 1997, a merger of a wholly-owned subsidiary of the Company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 was completed in the form of a purchase. Through the merger,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acquired StemCells for a purchase price totaling approximately</w:t>
      </w:r>
    </w:p>
    <w:p>
      <w:pPr>
        <w:spacing w:after="0" w:line="238" w:lineRule="auto"/>
        <w:rPr>
          <w:sz w:val="20"/>
          <w:szCs w:val="20"/>
          <w:color w:val="auto"/>
        </w:rPr>
      </w:pPr>
      <w:r>
        <w:rPr>
          <w:rFonts w:ascii="Courier New" w:cs="Courier New" w:eastAsia="Courier New" w:hAnsi="Courier New"/>
          <w:sz w:val="18"/>
          <w:szCs w:val="18"/>
          <w:color w:val="auto"/>
        </w:rPr>
        <w:t>$9,475,000, consisting of 1,320,691 shares of the Company's common stock and</w:t>
      </w:r>
    </w:p>
    <w:p>
      <w:pPr>
        <w:spacing w:after="0"/>
        <w:rPr>
          <w:sz w:val="20"/>
          <w:szCs w:val="20"/>
          <w:color w:val="auto"/>
        </w:rPr>
      </w:pPr>
      <w:r>
        <w:rPr>
          <w:rFonts w:ascii="Courier New" w:cs="Courier New" w:eastAsia="Courier New" w:hAnsi="Courier New"/>
          <w:sz w:val="18"/>
          <w:szCs w:val="18"/>
          <w:color w:val="auto"/>
        </w:rPr>
        <w:t>options and warrants for the purchase of 259,296 common shares at nominal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 valued at $7,900,000 in the aggregate, the assumption of certain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liabilities of $934,000 and transaction costs of $641,000. The purchase price</w:t>
      </w:r>
    </w:p>
    <w:p>
      <w:pPr>
        <w:spacing w:after="0" w:line="238" w:lineRule="auto"/>
        <w:rPr>
          <w:sz w:val="20"/>
          <w:szCs w:val="20"/>
          <w:color w:val="auto"/>
        </w:rPr>
      </w:pPr>
      <w:r>
        <w:rPr>
          <w:rFonts w:ascii="Courier New" w:cs="Courier New" w:eastAsia="Courier New" w:hAnsi="Courier New"/>
          <w:sz w:val="18"/>
          <w:szCs w:val="18"/>
          <w:color w:val="auto"/>
        </w:rPr>
        <w:t>was allocated, through a valuation, to license agreements valued at $1,131,000</w:t>
      </w:r>
    </w:p>
    <w:p>
      <w:pPr>
        <w:spacing w:after="0"/>
        <w:rPr>
          <w:sz w:val="20"/>
          <w:szCs w:val="20"/>
          <w:color w:val="auto"/>
        </w:rPr>
      </w:pPr>
      <w:r>
        <w:rPr>
          <w:rFonts w:ascii="Courier New" w:cs="Courier New" w:eastAsia="Courier New" w:hAnsi="Courier New"/>
          <w:sz w:val="18"/>
          <w:szCs w:val="18"/>
          <w:color w:val="auto"/>
        </w:rPr>
        <w:t>to be amortized over three years and acquired research and development of</w:t>
      </w:r>
    </w:p>
    <w:p>
      <w:pPr>
        <w:spacing w:after="0" w:line="237" w:lineRule="auto"/>
        <w:rPr>
          <w:sz w:val="20"/>
          <w:szCs w:val="20"/>
          <w:color w:val="auto"/>
        </w:rPr>
      </w:pPr>
      <w:r>
        <w:rPr>
          <w:rFonts w:ascii="Courier New" w:cs="Courier New" w:eastAsia="Courier New" w:hAnsi="Courier New"/>
          <w:sz w:val="18"/>
          <w:szCs w:val="18"/>
          <w:color w:val="auto"/>
        </w:rPr>
        <w:t>$8,344,000 which has been expensed. As part of the acquisition of StemCells,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M. Rose, M.D., became President, Chief Executive Officer and a 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 and Dr. Irving Weissman became a director of the Company.</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principal shareholders of StemCells to repurchase approximately 500,000 of the Company's shares of Common Stock exchanged for StemCells shares, upon the occurrence of certain events as defined.</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approximately 100,000 of these options are exercisable immediately, 1,031,000 of these options vest and become exercisable only on the achievement of specified milestones related to the Company's stem cell development program and the remaining 469,000 options vest over eight years. In connection with the 469,000 options issued to a non-employee, Dr. Anderson, the Company has recorded deferred compensation of $1,750,000, the fair value of such options at the date of grant, which will be amortized over an eight year period.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cells program.</w:t>
      </w: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Stem cells research will be conducted pursuant to the provisions of an agreement between the Company and Drs. Weissman and Gage providing for a two-year research plan. If the goals of the research plan are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15</w:t>
      </w:r>
    </w:p>
    <w:p>
      <w:pPr>
        <w:sectPr>
          <w:pgSz w:w="11900" w:h="16838" w:orient="portrait"/>
          <w:cols w:equalWidth="0" w:num="1">
            <w:col w:w="10219"/>
          </w:cols>
          <w:pgMar w:left="240" w:top="717" w:right="1440" w:bottom="1440"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accomplished, the Company has agreed to fund continuing stems cells research. Increases in stem cells research funding of not more than 25% a year will be funded by the Company as long as the goals of the research plan are being met. However, the Company will retain the option of (i) ceasing or reducing neural stem cell research even if all research plan goals are met, but will be required to accelerate the vesting of all still-achievable performance based stock options, and (ii)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prior Company funding for such research, plus royalty payments.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April 1997, CytoTherapeutics entered into an agreement with NeuroSpheres Ltd. replacing all previous agreements and resolving its dispute with NeuroSpheres. The pending action in the United State District Court and its counterpart actions in Calgary, as well as all arbitration proceedings have been discontinued. Under the terms of the settlement, the Company has an exclusive royalty-bearing license to growth-factor responsive stem cells for transplantation. NeuroSpheres had an option to acquire co-exclusive rights, but failed to exercise the option by the April 1998 deadline. Accordingly, the NeuroSpheres' option to acquire co-exclusive rights has lapsed and CytoTherapeutics retains exclusive rights for transplantation. The parties have no further research obligations to each other.</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February 1997, CytoTherapeutics and Cognetix, Inc. entered into a Collaboration and Development Agreement to screen selected peptides isolated by Cognetix for possible development into therapeutic products aimed at a broad range of human disease states using CytoTherapeutics' cell-based delivery technology. The Company and Cognetix are reexamining their relationship; the Company expects this reexamination will lead to termination of the joint project under agreement signed in February 1997.</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and Cognetix have also entered into an option agreement giving CytoTherapeutics the right to option up to three of Cognetix's compounds for use in treating eye diseases. CytoTherapeutics has exercised its right as to one protein.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15</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Under the terms of the agreement for Parkinson's disease, Genentech purchased 829,171 shares of common stock for $8,300,000 to fund development of products to treat Parkinson's disease. Additional equity purchases and other funding by Genentech is available for future clinical development as determined by the parties. Genentech has the right, in its discretion, to terminate the Parkinson's program at specified milestones in the program.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Upon commercialization, Genentech and the Company will share profits in the U.S. at an agreed upon percentage, and Genentech will pay the Company a royalty based upon deals outside the U.S. The Company retains manufacturing rights and will be paid manufacturing costs for products sold.</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also licensed certain growth factors for the treatment of Huntington's disease and amyotrophic lateral sclerosis ("ALS"). Under the terms of the agreements, the Company is responsible for conducting and funding all preclincal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 upon royalty based upon sales. These agreements supersede the Development Collaboration and License Agreement between the Company and Genentech entered into in March 1994.</w:t>
      </w:r>
    </w:p>
    <w:p>
      <w:pPr>
        <w:spacing w:after="0" w:line="39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March 1995, the Company signed a collaborative research and development agreement with Astra for the development and marketing of certain encapsulated-cell products to treat pain. Astra made an initial, nonrefundable payment of $5,000,000, a milestone payment of $3,000,000 in the first quarter of 1997 which was recognized as revenue in the second quarter of 1997 and may make up to $13,000,000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$5 million to $7 million. Subject to the successful development of such products and obtaining necessary regulatory approvals, Astra is obligated to conduct all clinical trials of products arising from the collaboration and to seek approval for their</w:t>
      </w:r>
    </w:p>
    <w:p>
      <w:pPr>
        <w:spacing w:after="0" w:line="200" w:lineRule="exact"/>
        <w:rPr>
          <w:sz w:val="20"/>
          <w:szCs w:val="20"/>
          <w:color w:val="auto"/>
        </w:rPr>
      </w:pPr>
    </w:p>
    <w:p>
      <w:pPr>
        <w:spacing w:after="0" w:line="38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15</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original agreement beginning April 1, 1998.</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expects that its existing capital resources, revenues from collaborative agreements and income earned on invested capital will be sufficient to fund its operations through 1999.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15</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PART II - ITEM 1</w:t>
      </w:r>
    </w:p>
    <w:p>
      <w:pPr>
        <w:spacing w:after="0" w:line="20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LEGAL PROCEEDINGS</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Exhibit 99 - Cautionary Factors Relevant to Forward-Looking-Information.</w:t>
      </w:r>
    </w:p>
    <w:p>
      <w:pPr>
        <w:spacing w:after="0" w:line="223" w:lineRule="exact"/>
        <w:rPr>
          <w:rFonts w:ascii="Courier New" w:cs="Courier New" w:eastAsia="Courier New" w:hAnsi="Courier New"/>
          <w:sz w:val="18"/>
          <w:szCs w:val="18"/>
          <w:color w:val="auto"/>
        </w:rPr>
      </w:pPr>
    </w:p>
    <w:p>
      <w:pPr>
        <w:ind w:left="640" w:right="7579" w:hanging="632"/>
        <w:spacing w:after="0" w:line="470"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15</w:t>
      </w:r>
    </w:p>
    <w:p>
      <w:pPr>
        <w:sectPr>
          <w:pgSz w:w="11900" w:h="16838" w:orient="portrait"/>
          <w:cols w:equalWidth="0" w:num="1">
            <w:col w:w="10219"/>
          </w:cols>
          <w:pgMar w:left="240" w:top="717" w:right="1440" w:bottom="1440" w:gutter="0" w:footer="0" w:header="0"/>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CYTOTHERAPEUTICS, INC.</w:t>
      </w:r>
    </w:p>
    <w:p>
      <w:pPr>
        <w:ind w:left="3700"/>
        <w:spacing w:after="0" w:line="238" w:lineRule="auto"/>
        <w:rPr>
          <w:sz w:val="20"/>
          <w:szCs w:val="20"/>
          <w:color w:val="auto"/>
        </w:rPr>
      </w:pPr>
      <w:r>
        <w:rPr>
          <w:rFonts w:ascii="Courier New" w:cs="Courier New" w:eastAsia="Courier New" w:hAnsi="Courier New"/>
          <w:sz w:val="18"/>
          <w:szCs w:val="18"/>
          <w:color w:val="auto"/>
        </w:rPr>
        <w:t>(Name of 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14,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S. McBride</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Officer</w:t>
      </w:r>
    </w:p>
    <w:p>
      <w:pPr>
        <w:ind w:left="420"/>
        <w:spacing w:after="0" w:line="238" w:lineRule="auto"/>
        <w:rPr>
          <w:sz w:val="20"/>
          <w:szCs w:val="20"/>
          <w:color w:val="auto"/>
        </w:rPr>
      </w:pPr>
      <w:r>
        <w:rPr>
          <w:rFonts w:ascii="Courier New" w:cs="Courier New" w:eastAsia="Courier New" w:hAnsi="Courier New"/>
          <w:sz w:val="18"/>
          <w:szCs w:val="18"/>
          <w:color w:val="auto"/>
        </w:rPr>
        <w:t>(principal financial officer and</w:t>
      </w:r>
    </w:p>
    <w:p>
      <w:pPr>
        <w:ind w:left="420"/>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15 of 15</w:t>
      </w:r>
    </w:p>
    <w:p>
      <w:pPr>
        <w:sectPr>
          <w:pgSz w:w="11900" w:h="16838" w:orient="portrait"/>
          <w:cols w:equalWidth="0" w:num="1">
            <w:col w:w="10219"/>
          </w:cols>
          <w:pgMar w:left="240" w:top="717" w:right="1440" w:bottom="1440" w:gutter="0" w:footer="0" w:header="0"/>
          <w:type w:val="continuous"/>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DEC-31-1998</w:t>
      </w:r>
    </w:p>
    <w:p>
      <w:pPr>
        <w:ind w:left="2940"/>
        <w:spacing w:after="0"/>
        <w:rPr>
          <w:sz w:val="20"/>
          <w:szCs w:val="20"/>
          <w:color w:val="auto"/>
        </w:rPr>
      </w:pPr>
      <w:r>
        <w:rPr>
          <w:rFonts w:ascii="Courier New" w:cs="Courier New" w:eastAsia="Courier New" w:hAnsi="Courier New"/>
          <w:sz w:val="18"/>
          <w:szCs w:val="18"/>
          <w:color w:val="auto"/>
        </w:rPr>
        <w:t>JAN-01-1998</w:t>
      </w:r>
    </w:p>
    <w:p>
      <w:pPr>
        <w:ind w:left="3160"/>
        <w:spacing w:after="0" w:line="237" w:lineRule="auto"/>
        <w:rPr>
          <w:sz w:val="20"/>
          <w:szCs w:val="20"/>
          <w:color w:val="auto"/>
        </w:rPr>
      </w:pPr>
      <w:r>
        <w:rPr>
          <w:rFonts w:ascii="Courier New" w:cs="Courier New" w:eastAsia="Courier New" w:hAnsi="Courier New"/>
          <w:sz w:val="18"/>
          <w:szCs w:val="18"/>
          <w:color w:val="auto"/>
        </w:rPr>
        <w:t>MAR-31-1998</w:t>
      </w:r>
    </w:p>
    <w:p>
      <w:pPr>
        <w:ind w:left="3900"/>
        <w:spacing w:after="0" w:line="238" w:lineRule="auto"/>
        <w:rPr>
          <w:sz w:val="20"/>
          <w:szCs w:val="20"/>
          <w:color w:val="auto"/>
        </w:rPr>
      </w:pPr>
      <w:r>
        <w:rPr>
          <w:rFonts w:ascii="Courier New" w:cs="Courier New" w:eastAsia="Courier New" w:hAnsi="Courier New"/>
          <w:sz w:val="18"/>
          <w:szCs w:val="18"/>
          <w:color w:val="auto"/>
        </w:rPr>
        <w:t>14,384,717</w:t>
      </w:r>
    </w:p>
    <w:p>
      <w:pPr>
        <w:ind w:left="3360"/>
        <w:spacing w:after="0"/>
        <w:rPr>
          <w:sz w:val="20"/>
          <w:szCs w:val="20"/>
          <w:color w:val="auto"/>
        </w:rPr>
      </w:pPr>
      <w:r>
        <w:rPr>
          <w:rFonts w:ascii="Courier New" w:cs="Courier New" w:eastAsia="Courier New" w:hAnsi="Courier New"/>
          <w:sz w:val="18"/>
          <w:szCs w:val="18"/>
          <w:color w:val="auto"/>
        </w:rPr>
        <w:t>9,771,672</w:t>
      </w:r>
    </w:p>
    <w:p>
      <w:pPr>
        <w:ind w:left="4100"/>
        <w:spacing w:after="0" w:line="237" w:lineRule="auto"/>
        <w:rPr>
          <w:sz w:val="20"/>
          <w:szCs w:val="20"/>
          <w:color w:val="auto"/>
        </w:rPr>
      </w:pPr>
      <w:r>
        <w:rPr>
          <w:rFonts w:ascii="Courier New" w:cs="Courier New" w:eastAsia="Courier New" w:hAnsi="Courier New"/>
          <w:sz w:val="18"/>
          <w:szCs w:val="18"/>
          <w:color w:val="auto"/>
        </w:rPr>
        <w:t>0</w:t>
      </w:r>
    </w:p>
    <w:p>
      <w:pPr>
        <w:ind w:left="420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2840"/>
        <w:spacing w:after="0"/>
        <w:rPr>
          <w:sz w:val="20"/>
          <w:szCs w:val="20"/>
          <w:color w:val="auto"/>
        </w:rPr>
      </w:pPr>
      <w:r>
        <w:rPr>
          <w:rFonts w:ascii="Courier New" w:cs="Courier New" w:eastAsia="Courier New" w:hAnsi="Courier New"/>
          <w:sz w:val="18"/>
          <w:szCs w:val="18"/>
          <w:color w:val="auto"/>
        </w:rPr>
        <w:t>25,513,217</w:t>
      </w:r>
    </w:p>
    <w:p>
      <w:pPr>
        <w:jc w:val="center"/>
        <w:ind w:right="319"/>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39,686,764</w:t>
      </w:r>
    </w:p>
    <w:p>
      <w:pPr>
        <w:ind w:left="2420"/>
        <w:spacing w:after="0" w:line="237" w:lineRule="auto"/>
        <w:rPr>
          <w:sz w:val="20"/>
          <w:szCs w:val="20"/>
          <w:color w:val="auto"/>
        </w:rPr>
      </w:pPr>
      <w:r>
        <w:rPr>
          <w:rFonts w:ascii="Courier New" w:cs="Courier New" w:eastAsia="Courier New" w:hAnsi="Courier New"/>
          <w:sz w:val="18"/>
          <w:szCs w:val="18"/>
          <w:color w:val="auto"/>
        </w:rPr>
        <w:t>4,053,510</w:t>
      </w:r>
    </w:p>
    <w:p>
      <w:pPr>
        <w:ind w:left="3900"/>
        <w:spacing w:after="0"/>
        <w:rPr>
          <w:sz w:val="20"/>
          <w:szCs w:val="20"/>
          <w:color w:val="auto"/>
        </w:rPr>
      </w:pPr>
      <w:r>
        <w:rPr>
          <w:rFonts w:ascii="Courier New" w:cs="Courier New" w:eastAsia="Courier New" w:hAnsi="Courier New"/>
          <w:sz w:val="18"/>
          <w:szCs w:val="18"/>
          <w:color w:val="auto"/>
        </w:rPr>
        <w:t>3,938,945</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176,749</w:t>
      </w:r>
    </w:p>
    <w:p>
      <w:pPr>
        <w:ind w:left="3460"/>
        <w:spacing w:after="0" w:line="238" w:lineRule="auto"/>
        <w:rPr>
          <w:sz w:val="20"/>
          <w:szCs w:val="20"/>
          <w:color w:val="auto"/>
        </w:rPr>
      </w:pPr>
      <w:r>
        <w:rPr>
          <w:rFonts w:ascii="Courier New" w:cs="Courier New" w:eastAsia="Courier New" w:hAnsi="Courier New"/>
          <w:sz w:val="18"/>
          <w:szCs w:val="18"/>
          <w:color w:val="auto"/>
        </w:rPr>
        <w:t>26,220,575</w:t>
      </w:r>
    </w:p>
    <w:p>
      <w:pPr>
        <w:ind w:left="1580"/>
        <w:spacing w:after="0"/>
        <w:rPr>
          <w:sz w:val="20"/>
          <w:szCs w:val="20"/>
          <w:color w:val="auto"/>
        </w:rPr>
      </w:pPr>
      <w:r>
        <w:rPr>
          <w:rFonts w:ascii="Courier New" w:cs="Courier New" w:eastAsia="Courier New" w:hAnsi="Courier New"/>
          <w:sz w:val="18"/>
          <w:szCs w:val="18"/>
          <w:color w:val="auto"/>
        </w:rPr>
        <w:t>39,686,764</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2940"/>
        <w:spacing w:after="0"/>
        <w:rPr>
          <w:sz w:val="20"/>
          <w:szCs w:val="20"/>
          <w:color w:val="auto"/>
        </w:rPr>
      </w:pPr>
      <w:r>
        <w:rPr>
          <w:rFonts w:ascii="Courier New" w:cs="Courier New" w:eastAsia="Courier New" w:hAnsi="Courier New"/>
          <w:sz w:val="18"/>
          <w:szCs w:val="18"/>
          <w:color w:val="auto"/>
        </w:rPr>
        <w:t>1,842,975</w:t>
      </w:r>
    </w:p>
    <w:p>
      <w:pPr>
        <w:spacing w:after="0" w:line="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0</w:t>
      </w:r>
    </w:p>
    <w:p>
      <w:pPr>
        <w:spacing w:after="0" w:line="16"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0</w:t>
      </w:r>
    </w:p>
    <w:p>
      <w:pPr>
        <w:jc w:val="right"/>
        <w:ind w:right="6199"/>
        <w:spacing w:after="0" w:line="238" w:lineRule="auto"/>
        <w:rPr>
          <w:sz w:val="20"/>
          <w:szCs w:val="20"/>
          <w:color w:val="auto"/>
        </w:rPr>
      </w:pPr>
      <w:r>
        <w:rPr>
          <w:rFonts w:ascii="Courier New" w:cs="Courier New" w:eastAsia="Courier New" w:hAnsi="Courier New"/>
          <w:sz w:val="18"/>
          <w:szCs w:val="18"/>
          <w:color w:val="auto"/>
        </w:rPr>
        <w:t>5,646,668</w:t>
      </w:r>
    </w:p>
    <w:p>
      <w:pPr>
        <w:jc w:val="right"/>
        <w:ind w:right="6199"/>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108,818</w:t>
      </w:r>
    </w:p>
    <w:p>
      <w:pPr>
        <w:ind w:left="2840"/>
        <w:spacing w:after="0" w:line="238" w:lineRule="auto"/>
        <w:rPr>
          <w:sz w:val="20"/>
          <w:szCs w:val="20"/>
          <w:color w:val="auto"/>
        </w:rPr>
      </w:pPr>
      <w:r>
        <w:rPr>
          <w:rFonts w:ascii="Courier New" w:cs="Courier New" w:eastAsia="Courier New" w:hAnsi="Courier New"/>
          <w:sz w:val="18"/>
          <w:szCs w:val="18"/>
          <w:color w:val="auto"/>
        </w:rPr>
        <w:t>(3,518,537)</w:t>
      </w:r>
    </w:p>
    <w:p>
      <w:pPr>
        <w:ind w:left="4200"/>
        <w:spacing w:after="0"/>
        <w:rPr>
          <w:sz w:val="20"/>
          <w:szCs w:val="20"/>
          <w:color w:val="auto"/>
        </w:rPr>
      </w:pPr>
      <w:r>
        <w:rPr>
          <w:rFonts w:ascii="Courier New" w:cs="Courier New" w:eastAsia="Courier New" w:hAnsi="Courier New"/>
          <w:sz w:val="18"/>
          <w:szCs w:val="18"/>
          <w:color w:val="auto"/>
        </w:rPr>
        <w:t>0</w:t>
      </w:r>
    </w:p>
    <w:p>
      <w:pPr>
        <w:ind w:left="2420"/>
        <w:spacing w:after="0" w:line="237" w:lineRule="auto"/>
        <w:rPr>
          <w:sz w:val="20"/>
          <w:szCs w:val="20"/>
          <w:color w:val="auto"/>
        </w:rPr>
      </w:pPr>
      <w:r>
        <w:rPr>
          <w:rFonts w:ascii="Courier New" w:cs="Courier New" w:eastAsia="Courier New" w:hAnsi="Courier New"/>
          <w:sz w:val="18"/>
          <w:szCs w:val="18"/>
          <w:color w:val="auto"/>
        </w:rPr>
        <w:t>(3,518,537)</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160"/>
        <w:spacing w:after="0" w:line="237" w:lineRule="auto"/>
        <w:rPr>
          <w:sz w:val="20"/>
          <w:szCs w:val="20"/>
          <w:color w:val="auto"/>
        </w:rPr>
      </w:pPr>
      <w:r>
        <w:rPr>
          <w:rFonts w:ascii="Courier New" w:cs="Courier New" w:eastAsia="Courier New" w:hAnsi="Courier New"/>
          <w:sz w:val="18"/>
          <w:szCs w:val="18"/>
          <w:color w:val="auto"/>
        </w:rPr>
        <w:t>(3,518,537)</w:t>
      </w:r>
    </w:p>
    <w:p>
      <w:pPr>
        <w:ind w:left="3680"/>
        <w:spacing w:after="0" w:line="238" w:lineRule="auto"/>
        <w:rPr>
          <w:sz w:val="20"/>
          <w:szCs w:val="20"/>
          <w:color w:val="auto"/>
        </w:rPr>
      </w:pPr>
      <w:r>
        <w:rPr>
          <w:rFonts w:ascii="Courier New" w:cs="Courier New" w:eastAsia="Courier New" w:hAnsi="Courier New"/>
          <w:sz w:val="18"/>
          <w:szCs w:val="18"/>
          <w:color w:val="auto"/>
        </w:rPr>
        <w:t>(.19)</w:t>
      </w:r>
    </w:p>
    <w:p>
      <w:pPr>
        <w:ind w:left="36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099"/>
          </w:cols>
          <w:pgMar w:left="360" w:top="136" w:right="1440" w:bottom="1440" w:gutter="0" w:footer="0" w:header="0"/>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Annual Report by the Company on the basis of management's current expectations. The business in which the Company is engaged is rapidly changing, extremely competitive and involves a high degree of risk, and accuracy with respect to forward-looking projections is difficult.</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18" w:name="page19"/>
    <w:bookmarkEnd w:id="18"/>
    <w:p>
      <w:pPr>
        <w:ind w:right="1779"/>
        <w:spacing w:after="0" w:line="238" w:lineRule="auto"/>
        <w:rPr>
          <w:sz w:val="20"/>
          <w:szCs w:val="20"/>
          <w:color w:val="auto"/>
        </w:rPr>
      </w:pPr>
      <w:r>
        <w:rPr>
          <w:rFonts w:ascii="Courier New" w:cs="Courier New" w:eastAsia="Courier New" w:hAnsi="Courier New"/>
          <w:sz w:val="18"/>
          <w:szCs w:val="18"/>
          <w:color w:val="auto"/>
        </w:rPr>
        <w:t>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is continuing a program of developing stronger implants. In addition, the viability of implanted 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There has been increasing regulatory concern about the risks of cell transplantation. Concern has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proposed guidelines which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nor what other actions might be taken. Restrictions on the testing or use of cells, whether human or nonhuman, as human therapeutics could adversely affect the Company's product development programs and the Company itself. See "Government Regulation."</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 Company, the development or commercialization of the Company's product candidate or research program under such collaborative agreement may be adversely affected. Moreover, the Company is particularly dependent on its pain program partner, Astra AB, because changes in the development of this particular program may significantly affect the Company's stock price. In addition, because of the Company's obligation to repurchase certain of the stock it sold to Genentech in connection with certain terminations of the Parkinson's Agreement, any such termination could have an adverse effect on the Company's liquidity.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Existence of Third Party Patents and Proprietary Rights; Need to Obtain Licenses</w:t>
      </w:r>
    </w:p>
    <w:p>
      <w:pPr>
        <w:spacing w:after="0" w:line="21" w:lineRule="exact"/>
        <w:rPr>
          <w:sz w:val="20"/>
          <w:szCs w:val="20"/>
          <w:color w:val="auto"/>
        </w:rPr>
      </w:pPr>
    </w:p>
    <w:p>
      <w:pPr>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69" w:lineRule="auto"/>
        <w:rPr>
          <w:sz w:val="20"/>
          <w:szCs w:val="20"/>
          <w:color w:val="auto"/>
        </w:rPr>
      </w:pPr>
      <w:r>
        <w:rPr>
          <w:rFonts w:ascii="Courier New" w:cs="Courier New" w:eastAsia="Courier New" w:hAnsi="Courier New"/>
          <w:sz w:val="16"/>
          <w:szCs w:val="16"/>
          <w:color w:val="auto"/>
        </w:rPr>
        <w:t>the claims which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 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200" w:lineRule="exact"/>
        <w:rPr>
          <w:sz w:val="20"/>
          <w:szCs w:val="20"/>
          <w:color w:val="auto"/>
        </w:rPr>
      </w:pP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2019-12-12T07:34:00Z</dcterms:created>
  <dcterms:modified xsi:type="dcterms:W3CDTF">2019-12-12T07:34:00Z</dcterms:modified>
</cp:coreProperties>
</file>