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13,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3040" w:firstLine="8"/>
        <w:spacing w:after="0" w:line="498"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3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00" w:type="dxa"/>
            <w:vAlign w:val="bottom"/>
          </w:tcPr>
          <w:p>
            <w:pPr>
              <w:spacing w:after="0"/>
              <w:rPr>
                <w:sz w:val="20"/>
                <w:szCs w:val="20"/>
                <w:color w:val="auto"/>
              </w:rPr>
            </w:pPr>
          </w:p>
        </w:tc>
        <w:tc>
          <w:tcPr>
            <w:tcW w:w="4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On January 13, 2020, Microbot Medical Inc. (the “Company”) posted presentation materials, including a video, on its website with respect to its recently announced reveal of LIBERTY</w:t>
      </w:r>
      <w:r>
        <w:rPr>
          <w:rFonts w:ascii="Arial" w:cs="Arial" w:eastAsia="Arial" w:hAnsi="Arial"/>
          <w:sz w:val="26"/>
          <w:szCs w:val="26"/>
          <w:color w:val="auto"/>
          <w:vertAlign w:val="superscript"/>
        </w:rPr>
        <w:t>TM</w:t>
      </w:r>
      <w:r>
        <w:rPr>
          <w:rFonts w:ascii="Arial" w:cs="Arial" w:eastAsia="Arial" w:hAnsi="Arial"/>
          <w:sz w:val="16"/>
          <w:szCs w:val="16"/>
          <w:color w:val="auto"/>
        </w:rPr>
        <w:t>, the world’s first fully disposable robotic system for use in neurovascular, cardiovascular and peripheral vascular procedures. The LIBERTY robotic system features a unique compact design with the capability to be operated remotely, reduce radiation exposure and physical strain to the physician, as well as the potential to eliminate the use of multiple consumables through its “One &amp; Done” capabilities. Based on the Company’s current regulatory analysis, it anticipates FDA submission with respect to the LIBERTY robotic system within 24 months.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publicly displaying and demonstrating LIBERTY to investors, journalists and healthcare industry leaders on Monday, January 13, 2020, in San Francisco, California.</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presentation materials can be accessed via the ‘Investors’ section, under ‘Presentations and Resources’ of the Registrant’s website at www.microbotmedical.com. The Registrant is not undertaking to update these presentations.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presentation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Presentation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187325</wp:posOffset>
            </wp:positionV>
            <wp:extent cx="7246620" cy="3464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6456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3464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64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64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64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64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64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64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64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64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64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64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64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64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64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64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64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64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64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64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64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64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64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64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64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64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64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584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584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64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64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3896360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2020-01-13T09:14:41Z</dcterms:created>
  <dcterms:modified xsi:type="dcterms:W3CDTF">2020-01-13T09:14:41Z</dcterms:modified>
</cp:coreProperties>
</file>