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s-3.htm"/>
      <w:bookmarkStart w:id="1" w:name="ksforms3"/>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October 13,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No. 333-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MICROBOT MEDICAL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2495"/>
        <w:gridCol w:w="60"/>
        <w:gridCol w:w="1535"/>
      </w:tblGrid>
      <w:tr>
        <w:trPr/>
        <w:tc>
          <w:tcPr>
            <w:tcW w:w="24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94-3078125</w:t>
            </w:r>
          </w:p>
        </w:tc>
      </w:tr>
      <w:tr>
        <w:trPr/>
        <w:tc>
          <w:tcPr>
            <w:tcW w:w="24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tc>
      </w:tr>
      <w:tr>
        <w:trPr/>
        <w:tc>
          <w:tcPr>
            <w:tcW w:w="24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175 Derby St., Bld. 27</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Hingham, MA 02043</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(781) 875-3605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Harel Gadot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 President, and Chief Executive Officer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175 Derby St., Bld. 27</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Hingham, MA 02043</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(781) 875-3605</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Stephen E. Fox, Esq.</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Mikayla K. Kolahifar, J.D.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Ruskin Moscou Faltischek, P.C.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1425 RXR Plaza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East Tower, 15</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Floor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Uniondale, New York 11556-1425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(516) 663-6600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after the effective date of this registration statement, as determined by the Registrant.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General Instruction I.D. filed to register additional securities or additional classes of securities pursuant to Rule 413(b)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745" w:type="dxa"/>
        <w:jc w:val="left"/>
        <w:tblInd w:w="0" w:type="dxa"/>
        <w:tblLayout w:type="fixed"/>
        <w:tblCellMar>
          <w:top w:w="0" w:type="dxa"/>
          <w:left w:w="0" w:type="dxa"/>
          <w:bottom w:w="0" w:type="dxa"/>
          <w:right w:w="0" w:type="dxa"/>
        </w:tblCellMar>
      </w:tblPr>
      <w:tblGrid>
        <w:gridCol w:w="1925"/>
        <w:gridCol w:w="230"/>
        <w:gridCol w:w="2345"/>
        <w:gridCol w:w="245"/>
      </w:tblGrid>
      <w:tr>
        <w:trPr/>
        <w:tc>
          <w:tcPr>
            <w:tcW w:w="19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2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9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2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2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w:t>
      </w:r>
      <w:r>
        <w:rPr>
          <w:rFonts w:ascii="Times New Roman;Times;Serif" w:hAnsi="Times New Roman;Times;Serif"/>
          <w:b/>
          <w:i w:val="false"/>
          <w:caps w:val="false"/>
          <w:smallCaps w:val="false"/>
          <w:sz w:val="20"/>
        </w:rPr>
        <w:t>a</w:t>
      </w:r>
      <w:r>
        <w:rPr>
          <w:rFonts w:ascii="Times New Roman;Times;Serif" w:hAnsi="Times New Roman;Times;Serif"/>
          <w:b/>
          <w:i w:val="false"/>
          <w:caps/>
          <w:sz w:val="20"/>
        </w:rPr>
        <w:t>) of the Securities Act of 1933, AS AMENDED, or until THE registration statement shall become effective on such date as the SECURITIES AND EXCHANGE Commission, acting pursuant to SAID Section 8(</w:t>
      </w:r>
      <w:r>
        <w:rPr>
          <w:rFonts w:ascii="Times New Roman;Times;Serif" w:hAnsi="Times New Roman;Times;Serif"/>
          <w:b/>
          <w:i w:val="false"/>
          <w:caps w:val="false"/>
          <w:smallCaps w:val="false"/>
          <w:sz w:val="20"/>
        </w:rPr>
        <w:t>a</w:t>
      </w:r>
      <w:r>
        <w:rPr>
          <w:rFonts w:ascii="Times New Roman;Times;Serif" w:hAnsi="Times New Roman;Times;Serif"/>
          <w:b/>
          <w:i w:val="false"/>
          <w:caps/>
          <w:sz w:val="20"/>
        </w:rPr>
        <w:t>), may determine.</w:t>
      </w:r>
    </w:p>
    <w:p>
      <w:pPr>
        <w:pStyle w:val="TextBody"/>
        <w:bidi w:val="0"/>
        <w:spacing w:before="0" w:after="0"/>
        <w:jc w:val="center"/>
        <w:rPr>
          <w:caps/>
        </w:rPr>
      </w:pPr>
      <w:r>
        <w:rPr>
          <w:caps/>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rPr>
      </w:pPr>
      <w:r>
        <w:rPr>
          <w:caps/>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FF0000"/>
          <w:sz w:val="20"/>
        </w:rPr>
      </w:pPr>
      <w:r>
        <w:rPr>
          <w:rFonts w:ascii="Times New Roman;Times;Serif" w:hAnsi="Times New Roman;Times;Serif"/>
          <w:b/>
          <w:i w:val="false"/>
          <w:caps/>
          <w:color w:val="FF0000"/>
          <w:sz w:val="20"/>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 DATED OCTOBER 13,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667000" cy="1104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67000" cy="11049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900,153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or other disposition from time to time of up to 900,153 shares of our common stock, $0.01 par value per share, by the selling stockholders named in this prospectus, including their transferees, pledgees, donees or successors, that may be issued upon the exercise of outstanding preferred investment options held by the selling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does not cover the issuance of the shares underlying the preferred investment options to the selling stockholders upon their exercise. We are not selling any shares of common stock under this prospectus and will not receive any of the proceeds from the sale of shares of common stock by the selling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the shares covered by this prospectus does not mean that the selling stockholders will actually exercise outstanding options held by them or offer or resell any of these shares once issued to them. The selling stockholders may resell or otherwise dispose of the shares of common stock covered by this prospectus in a number of different ways and at varying prices. We provide more information about how the selling stockholders may sell or otherwise dispose of their shares of common stock in the section entitled “Plan of Distribution” beginning on page 9. The selling stockholders will pay all brokerage fees and commissions and similar expenses. We will pay all expenses (except brokerage fees and commissions and similar expenses) relating to the registration of the shares with the Securities and Exchange Commission. No underwriter or other person has been engaged to facilitate the resale of shares of our common stock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under the ticker symbol “MBOT.” On October 10, 2025, the last reported closing price of our common stock on the Nasdaq Capital Market was $2.92.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common stock involves a high degree of risk. You should review carefully the risks and uncertainties described under the heading “Risk Factors” beginning on page 6 of this prospectus, and under similar headings in any amendments or supplements 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 2025.</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7135" w:type="dxa"/>
        <w:jc w:val="left"/>
        <w:tblInd w:w="0" w:type="dxa"/>
        <w:tblLayout w:type="fixed"/>
        <w:tblCellMar>
          <w:top w:w="0" w:type="dxa"/>
          <w:left w:w="0" w:type="dxa"/>
          <w:bottom w:w="0" w:type="dxa"/>
          <w:right w:w="0" w:type="dxa"/>
        </w:tblCellMar>
      </w:tblPr>
      <w:tblGrid>
        <w:gridCol w:w="6605"/>
        <w:gridCol w:w="530"/>
      </w:tblGrid>
      <w:tr>
        <w:trPr/>
        <w:tc>
          <w:tcPr>
            <w:tcW w:w="6605"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Pages</w:t>
            </w:r>
          </w:p>
        </w:tc>
      </w:tr>
      <w:tr>
        <w:trPr/>
        <w:tc>
          <w:tcPr>
            <w:tcW w:w="660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i w:val="false"/>
                  <w:caps w:val="false"/>
                  <w:smallCaps w:val="false"/>
                  <w:sz w:val="20"/>
                </w:rPr>
                <w:t>ABOUT THIS PROSPECTUS</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6605"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b/>
                  <w:i w:val="false"/>
                  <w:caps w:val="false"/>
                  <w:smallCaps w:val="false"/>
                  <w:sz w:val="20"/>
                </w:rPr>
                <w:t>PROSPECTUS SUMMARY</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605"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b/>
                  <w:i w:val="false"/>
                  <w:caps w:val="false"/>
                  <w:smallCaps w:val="false"/>
                  <w:sz w:val="20"/>
                </w:rPr>
                <w:t>RISK FACTORS</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6605" w:type="dxa"/>
            <w:tcBorders/>
            <w:shd w:fill="FFFFFF" w:val="clear"/>
            <w:vAlign w:val="center"/>
          </w:tcPr>
          <w:p>
            <w:pPr>
              <w:pStyle w:val="TableContents"/>
              <w:bidi w:val="0"/>
              <w:spacing w:before="0" w:after="283"/>
              <w:jc w:val="left"/>
              <w:rPr/>
            </w:pPr>
            <w:hyperlink w:anchor="a_005">
              <w:r>
                <w:rPr>
                  <w:rStyle w:val="InternetLink"/>
                  <w:rFonts w:ascii="Times New Roman;Times;Serif" w:hAnsi="Times New Roman;Times;Serif"/>
                  <w:b/>
                  <w:i w:val="false"/>
                  <w:caps w:val="false"/>
                  <w:smallCaps w:val="false"/>
                  <w:sz w:val="20"/>
                </w:rPr>
                <w:t>CAUTIONARY NOTE REGARDING FORWARD-LOOKING STATEMENTS</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6605"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b/>
                  <w:i w:val="false"/>
                  <w:caps w:val="false"/>
                  <w:smallCaps w:val="false"/>
                  <w:sz w:val="20"/>
                </w:rPr>
                <w:t>USE OF PROCEEDS</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605" w:type="dxa"/>
            <w:tcBorders/>
            <w:shd w:fill="FFFFFF" w:val="clear"/>
            <w:vAlign w:val="center"/>
          </w:tcPr>
          <w:p>
            <w:pPr>
              <w:pStyle w:val="TableContents"/>
              <w:bidi w:val="0"/>
              <w:spacing w:before="0" w:after="283"/>
              <w:jc w:val="left"/>
              <w:rPr/>
            </w:pPr>
            <w:hyperlink w:anchor="a_007">
              <w:r>
                <w:rPr>
                  <w:rStyle w:val="InternetLink"/>
                  <w:rFonts w:ascii="Times New Roman;Times;Serif" w:hAnsi="Times New Roman;Times;Serif"/>
                  <w:b/>
                  <w:i w:val="false"/>
                  <w:caps w:val="false"/>
                  <w:smallCaps w:val="false"/>
                  <w:sz w:val="20"/>
                </w:rPr>
                <w:t>SELLING STOCKHOLDERS</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6605"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b/>
                  <w:i w:val="false"/>
                  <w:caps w:val="false"/>
                  <w:smallCaps w:val="false"/>
                  <w:sz w:val="20"/>
                </w:rPr>
                <w:t>PLAN OF DISTRIBUTION</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6605" w:type="dxa"/>
            <w:tcBorders/>
            <w:shd w:fill="FFFFFF" w:val="clear"/>
            <w:vAlign w:val="center"/>
          </w:tcPr>
          <w:p>
            <w:pPr>
              <w:pStyle w:val="TableContents"/>
              <w:bidi w:val="0"/>
              <w:spacing w:before="0" w:after="283"/>
              <w:jc w:val="left"/>
              <w:rPr/>
            </w:pPr>
            <w:hyperlink w:anchor="a_009">
              <w:r>
                <w:rPr>
                  <w:rStyle w:val="InternetLink"/>
                  <w:rFonts w:ascii="Times New Roman;Times;Serif" w:hAnsi="Times New Roman;Times;Serif"/>
                  <w:b/>
                  <w:i w:val="false"/>
                  <w:caps w:val="false"/>
                  <w:smallCaps w:val="false"/>
                  <w:sz w:val="20"/>
                </w:rPr>
                <w:t>DESCRIPTION OF CAPITAL STOCK</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6605"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b/>
                  <w:i w:val="false"/>
                  <w:caps w:val="false"/>
                  <w:smallCaps w:val="false"/>
                  <w:sz w:val="20"/>
                </w:rPr>
                <w:t>LEGAL MATTERS</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6605" w:type="dxa"/>
            <w:tcBorders/>
            <w:shd w:fill="FFFFFF" w:val="clear"/>
            <w:vAlign w:val="center"/>
          </w:tcPr>
          <w:p>
            <w:pPr>
              <w:pStyle w:val="TableContents"/>
              <w:bidi w:val="0"/>
              <w:spacing w:before="0" w:after="283"/>
              <w:jc w:val="left"/>
              <w:rPr/>
            </w:pPr>
            <w:hyperlink w:anchor="a_011">
              <w:r>
                <w:rPr>
                  <w:rStyle w:val="InternetLink"/>
                  <w:rFonts w:ascii="Times New Roman;Times;Serif" w:hAnsi="Times New Roman;Times;Serif"/>
                  <w:b/>
                  <w:i w:val="false"/>
                  <w:caps w:val="false"/>
                  <w:smallCaps w:val="false"/>
                  <w:sz w:val="20"/>
                </w:rPr>
                <w:t>EXPERTS</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6605"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b/>
                  <w:i w:val="false"/>
                  <w:caps w:val="false"/>
                  <w:smallCaps w:val="false"/>
                  <w:sz w:val="20"/>
                </w:rPr>
                <w:t>WHERE YOU CAN FIND MORE INFORMATION</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6605" w:type="dxa"/>
            <w:tcBorders/>
            <w:shd w:fill="FFFFFF" w:val="clear"/>
            <w:vAlign w:val="center"/>
          </w:tcPr>
          <w:p>
            <w:pPr>
              <w:pStyle w:val="TableContents"/>
              <w:bidi w:val="0"/>
              <w:spacing w:before="0" w:after="283"/>
              <w:jc w:val="left"/>
              <w:rPr/>
            </w:pPr>
            <w:hyperlink w:anchor="a_013">
              <w:r>
                <w:rPr>
                  <w:rStyle w:val="InternetLink"/>
                  <w:rFonts w:ascii="Times New Roman;Times;Serif" w:hAnsi="Times New Roman;Times;Serif"/>
                  <w:b/>
                  <w:i w:val="false"/>
                  <w:caps w:val="false"/>
                  <w:smallCaps w:val="false"/>
                  <w:sz w:val="20"/>
                </w:rPr>
                <w:t>INCORPORATION OF CERTAIN INFORMATION BY REFERENCE</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bl>
    <w:p>
      <w:pPr>
        <w:pStyle w:val="TextBody"/>
        <w:bidi w:val="0"/>
        <w:spacing w:before="0" w:after="0"/>
        <w:ind w:left="0" w:right="0" w:firstLine="720"/>
        <w:jc w:val="both"/>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ABOUT THIS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filed with the United States Securities and Exchange Commission (the “SEC”). You should read this prospectus, including the documents incorporated by reference herein, and the related registration statement carefully. This prospectus and registration statement contain important information you should consider when making your investment decision.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that we have provided in this prospectus, including the documents incorporated by reference herein, and any applicable prospectus supplement. We have not authorized anyone to provide you with different information. No dealer, salesperson, or other person is authorized to give any information or to represent anything not contained in this prospectus, including the documents incorporated by reference herein, and any applicable prospectus supplement. You must not rely on any unauthorized information or representation. This prospectus is an offer to sell only the securities offered hereby, but only under circumstances and in jurisdictions where it is lawful to do so. You should assume that the information in this prospectus, including the documents incorporated by reference herein, and any applicable prospectus supplement is accurate only as of the date on the front of the respective document, regardless of the time of delivery of this prospectus, any applicable prospectus supplement, or any sale of a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headings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Incorporation of Certain Information by Reference</w:t>
      </w:r>
      <w:r>
        <w:rPr>
          <w:rFonts w:ascii="Times New Roman;Times;Serif" w:hAnsi="Times New Roman;Times;Serif"/>
          <w:b w:val="false"/>
          <w:i w:val="false"/>
          <w:caps w:val="false"/>
          <w:smallCaps w:val="false"/>
          <w:sz w:val="20"/>
        </w:rPr>
        <w:t>” before making an investment decision.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and covenants were accurate only as of the date when made. Accordingly, such representations, warranties and covenants should not be relied on as accurately representing the current state of our affairs.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indicates otherwise in this prospectus, the terms “Microbot,” the “Company,” “we,” “our” or “us” in this prospectus refer to Microbot Medical Inc. and its wholly-owned subsidiaries.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PROSPECTUS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summary highlights certain information about us and this offering contained elsewhere in this prospectus or in the documents we incorporate by reference. Because it is only a summary, it does not contain all of the information that you should consider before investing in shares of our securities, and it is qualified in its entirety by, and should be read in conjunction with, the more detailed information appearing elsewhere or incorporated by reference in this prospectus. Before you decide to invest in our securities, you should read the entire prospectus carefully, including “Risk Factors” beginning on page 6, and the consolidated financial statements and related notes and the other information included or incorporated by reference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medical device company specializing in the research, design and development of next generation robotic endoluminal surgery devices targeting the minimally invasive surgery space. We are primarily focused on leveraging our robotic technologies with the goal of redefining surgical robotics while improving surgical outcomes for patients.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Using our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technological platform, we have developed the first-ever fully disposable robot for various endovascular interventional procedures.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is designed to maneuver guidewires and over-the-wire devices (such as microcatheters) within the body’s vasculature. It is intended for the remote delivery and manipulation of guidewires and catheters, and remote manipulation of guide catheters to facilitate navigation to anatomical targets, with the current intention to focus in the peripheral vasculature market. It is designed to eliminate the need for extensive capital equipment requiring dedicated Cath-lab rooms as well as dedicated staff.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Granted U.S. Food and Drug Administration 510(k) Clearance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2025, we announced that the U.S. Food and Drug Administration (“FDA”) has granted 510(k) clearance for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System, the first FDA cleared single-use, remotely operated robotic system for peripheral endovascular procedures. The FDA clearance positions us to commercialize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in the U.S., with the goal of transforming the field to enable accessibility to advanced robotics without the traditional constraints of capital equipment and a dedicated infrastructure. With FDA clearance, we expect to complete the final commercial activities that were contingent on marketing clearance, positioning us to commence commercialization, penetrate the approximately 2.5 million annual U.S. peripheral vascular procedures, and pursue entry into global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Granted First Japanese Patent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2025, we announced that the Japanese Patent Office has granted the Company its first patent in Japan, covering the core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System technology, such as a compact robotic device for driving and manipulating movement of at least one elongate surgical tool.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Granted U.S. Patent for a Modular Robotic Surgical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20, 2025, we announced that the United States Patent and Trademark Office has granted us a patent, covering a modular robotic surgical system which includes a base and a plurality of tool-receiver unites arranged as separate unites and independently and interchangeably attachable to the base.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Granted Patent in China for the Robotic Manipulation of a Surgical Tool Handle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17, 2025, we announced that the China National Intellectual Property Administration has granted us a critical patent in China, a key step in our global intellectual property expansion strategy. The patent covers the robotic manipulation of a surgical tool handle.</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Israel-Hamas War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2023, the State of Israel, where our research and development and other operations are primarily based, suffered a surprise attack by hostile forces from Gaza, which led to Israeli military operation at first in Gaza and then in Lebanon. These military operations and related activities, such as the recent collapse of the Assad regime in Syria and Israel’s subsequent military operations in Syria, and the recent escalation of military operations by and against the Houthis in Yemen and the Iranian regime, are on-going as of the date of this prospectus, although there have been temporary cease fires and lulls in military operations from time to time.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considered various ongoing risks relating to the military operations and related matters, including: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That some of our Israeli subcontractors, vendors, suppliers and other companies in which the Company relies, are currently only partially active, as instructed by the relevant authorities;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slowdown in the number of international flights in and out of Israel;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decreasing international regard for Israeli-based companies in certain quarters, including as a result of the Israeli government’s on-going campaign against the Palestinians in Gaza and the West Bank;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Possible boycotts of Israel and Israeli-based companies, which may adversely affect our ability to do business in certain jurisdictions or with certain industry groups, among others.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closely monitoring how the military operations and related activities could adversely affect our anticipated milestones and our Israel-based activities to support future clinical and regulatory milestones, including our ability to import materials that are required to construct the Company’s devices and to ship them outside of Israel. In addition, we are also monitoring how negative international reaction to the events in Gaza, the West Bank and elsewhere in the Middle East could create a corresponding negative perception of companies based in Israel, which if broad enough, could negatively impact our business. As of the date of this prospectus, we have determined that there have not been any materially adverse effects on our business or operations, but we continue to monitor the situation, as any collapse of a cease-fire from time to time or any future escalation or change could result in a material adverse effect on the ability of our Israeli office to support the Company’s clinical and regulatory activities. We do not have any specific contingency plans in the event of any such escalation or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Technological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LIBERTY</w:t>
      </w:r>
      <w:r>
        <w:rPr>
          <w:rFonts w:ascii="Times New Roman;Times;Serif" w:hAnsi="Times New Roman;Times;Serif"/>
          <w:b/>
          <w:i/>
          <w:caps w:val="false"/>
          <w:smallCaps w:val="false"/>
          <w:position w:val="7"/>
          <w:sz w:val="16"/>
          <w:sz w:val="20"/>
        </w:rPr>
        <w:t xml:space="preserve">® </w:t>
      </w:r>
      <w:r>
        <w:rPr>
          <w:rFonts w:ascii="Times New Roman;Times;Serif" w:hAnsi="Times New Roman;Times;Serif"/>
          <w:b/>
          <w:i/>
          <w:caps w:val="false"/>
          <w:smallCaps w:val="false"/>
          <w:sz w:val="20"/>
        </w:rPr>
        <w:t>Endovascular Robotic Surgical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FDA-cleared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features a unique compact, single-use design with the capability to be operated remotely, reduce radiation exposure and physical strain to the physician, as well as the potential to reduce the use of consumables.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is designed to maneuver guidewires and over-the-wire devices (such as microcatheters) within the body’s vasculature. It eliminates the need for extensive capital equipment requiring dedicated Cath-lab rooms as well as dedicated staff, when compared to other robotic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addressable markets for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in its current version includes the peripheral interventional radiology market, with future versions expected to include the Interventional Cardiology and Interventional Neuroradiology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unique characteristics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 compact, mobile, disposable and remotely controlled – also may open the opportunity of expanding telerobotic interventions to patients with limited access to life-saving procedures.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has been designed to have the following attributes: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Compact size - Eliminates the need for large capital equipment in dedicated cath-lab rooms with dedicated staff.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Fully disposable - To our knowledge, the first fully disposable robotic system for endovascular procedures.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&amp; Done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 Has the potential to be compatible with our NovaCross</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products or possibly other instruments that combine guidewire and microcatheter into a single device. We are currently evaluating this combination in different applications.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of the art maneuverability - Provides linear and rotational control of its guidewire, as well as linear and rotational control of a guide catheter, and the linear motion for an additional microcatheter (“over-the-wire”) device.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Compatibility with a wide range of commercially-available guidewires, microcatheters and guide-catheters.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Enhanced operator safety and comfort - Aims to reduce exposure to ionizing radiation and reduce physical strain due to the need for heavy lead vests otherwise to be worn during procedures.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Ease of use - A remote control designed to be intuitive aims to simplify advanced procedures while shortening the physician’s learning curve.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Telemedicine capability - May serve as a platform for supporting tele-catheterization, carried out remotely by highly trained specialists. Our research collaboration with Corewell Health™ has demonstrated the feasibility of using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System between separate and remote facilities in a coronary simulation model. The project assesses the feasibility of using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to perform simulated cardiovascular interventional procedures across two sites within the Corewell Health™ system located 5 miles apart. The telesurgery feature of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is still being evaluated and is not covered under the Company’s 510(k) clearance with the FDA.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2024, we announced that we received ISO 13485:2016 certification for our quality management system. Receiving ISO 13485 certification indicates that a company has developed and implemented robust policies and procedures for the development and manufacture of regulated medical products. This is a certification ensuring compliance with the Quality Management System (QMS) requirements of the EU Medical Devices Regulation (MDR 2017/745) and supporting our future CE Mark approval, and ultimately allowing us to market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in Europe as well as other regions who accept the CE Mark. We anticipate CE Mark approval in the second half of 2026. However, we can give no assurance that we will meet this or any other projected milestones, if ever. In addition, in view of the recent revision published by the FDA regarding the quality system management regulation and its incorporation by reference of the ISO 13485 standard, we believe it will help streamline our transition into this revised FDA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an agreement with Emory University, which will allow the parties to evaluate and explore the potential for a future collaboration in connection with autonomous robotics in endovascular procedures. Under the terms of the agreement, Emory University will assume the responsibility of exploring the feasibility of integrating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with an imaging system to create an autonomous robotic system for endovascular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2025, we announced that the FDA has granted 510(k) clearance for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NovaCross</w:t>
      </w:r>
      <w:r>
        <w:rPr>
          <w:rFonts w:ascii="Times New Roman;Times;Serif" w:hAnsi="Times New Roman;Times;Serif"/>
          <w:b/>
          <w:i/>
          <w:caps w:val="false"/>
          <w:smallCaps w:val="false"/>
          <w:position w:val="7"/>
          <w:sz w:val="16"/>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was incorporated on August 2, 1988 in the State of Delaware under the name Cellular Transplants, Inc. The original Certificate of Incorporation was restated on February 14, 1992 to change the name of the Company to CytoTherapeutics, Inc. On May 24, 2000, the Certificate of Incorporation as restated was further amended to change the name of the Company to StemCells, Inc. On November 28, 2016, C&amp;RD Israel Ltd., a wholly-owned subsidiary the Company, completed its merger with and into Microbot Medical Ltd., or Microbot Israel, an Israeli corporation that then owned our assets and operated our current business, with Microbot Israel surviving as a wholly-owned subsidiary of ours. We refer to this transaction as the “Merger.” On November 28, 2016, in connection with the Merger, we changed our name from “StemCells, Inc.” to Microbot Medical Inc., and each outstanding share of Microbot Israel capital stock was converted into the right to receive shares of our common stock. In addition, all outstanding options to purchase the ordinary shares of Microbot Israel were assumed by us and converted into options to purchase shares of the common stock of Microbot Medical Inc. Prior to the Merger, we were a biopharmaceutical company that operated in one segment, the research, development, and commercialization of stem cell therapeutics and related technologies. Substantially all of the material assets relating to the stem cell business were sold on November 29, 2016. On November 29, 2016, our common stock began trading on the Nasdaq Capital Market under the symbol “MBOT.”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 address is 175 Derby St., Bld. 27, Hingham, MA 02043. Microbot also has an executive office at 6 Hayozma Street, Yokneam Ilit, Israel 2069815. Our telephone number is (781) 875-3605. We maintain an Internet website at www.microbotmedical.com. The information contained on, connected to, or that can be accessed via our website is not part of this prospectus. We have included our website address in this prospectus as an inactive textual reference only and not as an active hyperlink.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Annual Reports on Form 10-K, Quarterly Reports on Form 10-Q, Current Reports on Form 8-K, and all amendments to those reports filed or furnished pursuant to Section 13(a) or 15(d) of the Securities Exchange Act of 1934, as amended, or the Exchange Act, are available free of charge through the investor relations page of our internet website as soon as reasonably practicable after we electronically file such material with, or furnish it to,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and financial results are subject to various risk and uncertainties. Before deciding to invest in our securities, you should carefully consider the factors described under “Risk Factors” beginning on page 6 of this prospectus, as well as the other information included elsewhere in this prospectus, and the risk factors described under “Part I, Item 1A. Risk Factors” in our most recent Annual Report on Form 10-K and in any subsequently-filed Quarterly Reports on Form 10-Q, and those contained in our other filings with the SEC that are incorporated by reference in this prospectus. Any of the foregoing risk factors could adversely affect our business, results of operations, financial condition and prospects. Additional risks and uncertainties not presently known to us or that we currently deem immaterial may also adversely affect our business operations.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THE OFFERING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by the selling stockholders identified in this prospectus of up to 900,153 shares of our common stock,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53,758 shares of our common stock issuable to the selling stockholders upon the exercise of outstanding 5½ year preferred investment options at an exercise price per share of $1.875;</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146,306 shares of our common stock issuable to the selling stockholders upon the exercise of outstanding 2 year preferred investment options, at an exercise price per share of $1.875;</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368,572 shares of our common stock issuable to the selling stockholders upon the exercise of outstanding 2 year preferred investment options, at an exercise price per share of $2.1875;</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143,723 shares of our common stock issuable to the selling stockholders upon the exercise of outstanding 2 year preferred investment options, at an exercise price per share of $2.625;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187,794 shares of our common stock issuable to the selling stockholders upon the exercise of outstanding 2 year preferred investment options, at an exercise price per share of $2.6625.</w:t>
            </w:r>
          </w:p>
        </w:tc>
      </w:tr>
    </w:tbl>
    <w:p>
      <w:pPr>
        <w:pStyle w:val="TextBody"/>
        <w:bidi w:val="0"/>
        <w:spacing w:before="0" w:after="0"/>
        <w:ind w:left="0" w:right="0" w:firstLine="90"/>
        <w:jc w:val="left"/>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4400"/>
        <w:gridCol w:w="60"/>
        <w:gridCol w:w="1505"/>
      </w:tblGrid>
      <w:tr>
        <w:trPr/>
        <w:tc>
          <w:tcPr>
            <w:tcW w:w="44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offered by the selling stockholders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900,153 shares</w:t>
            </w:r>
          </w:p>
        </w:tc>
      </w:tr>
      <w:tr>
        <w:trPr/>
        <w:tc>
          <w:tcPr>
            <w:tcW w:w="4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outstanding before the offering (1)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67,158,044 shares</w:t>
            </w:r>
          </w:p>
        </w:tc>
      </w:tr>
      <w:tr>
        <w:trPr/>
        <w:tc>
          <w:tcPr>
            <w:tcW w:w="44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to be outstanding after the offering (2)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68,058,197 shares</w:t>
            </w:r>
          </w:p>
        </w:tc>
      </w:tr>
      <w:tr>
        <w:trPr/>
        <w:tc>
          <w:tcPr>
            <w:tcW w:w="4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Capital Market Symbol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MBOT</w:t>
            </w:r>
          </w:p>
        </w:tc>
      </w:tr>
    </w:tbl>
    <w:p>
      <w:pPr>
        <w:pStyle w:val="TextBody"/>
        <w:bidi w:val="0"/>
        <w:spacing w:before="0" w:after="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the number of shares outstanding as of October 10, 2025.</w:t>
            </w:r>
          </w:p>
        </w:tc>
      </w:tr>
      <w:tr>
        <w:trPr/>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Assumes the exercise of all of the 900,153 options held by the selling stockholders, the underlying shares of which are being registered pursuant to the registration statement of which this prospectus forms a part. Does not include the exercise of any other options or warrants that may be outstanding or issuable, including those that may be held by the selling stockholders.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900,153 shares of common stock issuable upon the exercise of currently outstanding preferred investment options, in each case that are being offered for resale by the selling stockholders, will be sold for the accounts of the selling stockholders named in this prospectus. As a result, all proceeds from the sales of such shares of common stock offered for resale hereby will go to the selling stockholders and we will not receive any proceeds from the resale of those shares of common stock by the selling stockholders.</w:t>
      </w:r>
    </w:p>
    <w:p>
      <w:pPr>
        <w:pStyle w:val="TextBody"/>
        <w:bidi w:val="0"/>
        <w:spacing w:before="0" w:after="0"/>
        <w:ind w:left="13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receive up to a total of approximately $2.1 million in gross proceeds if all of the 900,153 preferred investment options are exercised by the selling stockholders for cash. However, as we are unable to predict the timing or amount of potential exercises of the options, we have not allocated any proceeds of such exercises to any particular purpose. Accordingly, all such proceeds, if any, would be allocated to working capital. Pursuant to conditions set forth in the options, the options are exercisable under certain circumstances on a cashless basis. Should a selling stockholder elect to exercise on a cashless basis, we will not receive any proceeds from the sale of common stock issued upon the cashless exercise of the option.</w:t>
      </w:r>
    </w:p>
    <w:p>
      <w:pPr>
        <w:pStyle w:val="TextBody"/>
        <w:bidi w:val="0"/>
        <w:spacing w:before="0" w:after="0"/>
        <w:ind w:left="13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incur all costs associated with this registration statement and prospectus.</w:t>
      </w:r>
    </w:p>
    <w:p>
      <w:pPr>
        <w:pStyle w:val="TextBody"/>
        <w:bidi w:val="0"/>
        <w:spacing w:before="0" w:after="0"/>
        <w:ind w:left="13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paid dividends on our capital stock and do not anticipate paying any dividends for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a Registration Statement on Form S-3, of which this prospectus forms a part, to satisfy registration rights we granted to the selling stockholders.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risks. Before deciding whether to purchase our securities, you should carefully consider the risk factors incorporated by reference from our Annual Report on Form 10-K for the year ended December 31, 2024 filed with the SEC on March 25, 2025, under the heading “Item 1A. Risk Factors,” any updates to those risk factors contained in our subsequently filed Quarterly Reports on Form 10-Q or Current Reports on Form 8-K and the other information contained in this prospectus or any applicable prospectus supplement, as updated by those subsequent filings with the SEC under the Securities Exchange Act of 1934, as amended (the “Exchange Act”) that are incorporated herein by reference. These risks could materially affect our business, results of operations, and financial condition, and could cause the value of our securities to decline in value, in which case you may lose all or part of your investment. For more information, see “Where You Can Find More Information” and “Incorporation of Certain Documents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in this prospectus include forward-looking statements within the meaning of Section 27A of the Securities Act of 1933, as amended, or (the “Securities Act”), and Section 21E of the Exchange Act that relate to future events or our future operations or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In some cases, you can identify forward-looking statements by terminology such as “may,” “should,” “intends,” “expects,” “plans,” “targets,” “anticipates,” “believes,” “estimates,” “will,” “would,” “predicts,” “potential,” or “continue,” or the negative of these terms or other comparable terminology. These statements are only predictions and involve known and unknown risks, uncertainties, and other factors.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manufacturing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the fact that additional trials may be required to confirm the safety and demonstrate the efficacy of any future applications or products; uncertainty as to whether the regulatory authorities other than the FDA will clear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or any other of our proposed products for commercialization and sale or if the FDA will clear our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device for other uses; the risk that any planned clinical trials or studies could be substantially delayed beyond their expected dates or cause us to incur substantial unanticipated costs; uncertainties in our ability to obtain the capital resources needed to continue our current or future research and development operations and to conduct the research, preclinical development and clinical trials necessary for regulatory approvals; the uncertainty regarding the outcome of our clinical trials or studies we may conduct in the future; the uncertainty regarding the validity and enforceability of the patents underlying our proposed products; the uncertainty whether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or any other of our proposed products will prove clinically safe and effective; the uncertainty of whether we will achieve significant revenue from product sales or become profitable; obsolescence of our technologies; competition from third parties; intellectual property rights of third parties; litigation risks; legal, regulatory and military developments in Israel, including disruptions resulting from new and ongoing hostilities between Israel and the Palestinians and neighboring countries, such as employees of Microbot and its vendors and business partners being called to active military duty; and other risks to which we are subject.</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based these forward-looking statements on our current expectations and projections about future events. We believe that the assumptions and expectations reflected in such forward-looking statements are reasonable, based on information available to us on the date hereof, but we cannot assure you that these assumptions and expectations will prove to have been correct or that we will take any action that we may presently be planning. These forward-looking statements are inherently subject to known and unknown risks and uncertainties. We have included important cautionary statements in this prospectus, in the documents incorporated by reference in this prospectus, and in the sections in our periodic reports, including our most recent Annual Report on Form 10-K, entitled “</w:t>
      </w:r>
      <w:r>
        <w:rPr>
          <w:rFonts w:ascii="Times New Roman;Times;Serif" w:hAnsi="Times New Roman;Times;Serif"/>
          <w:b w:val="false"/>
          <w:i/>
          <w:caps w:val="false"/>
          <w:smallCaps w:val="false"/>
          <w:sz w:val="20"/>
        </w:rPr>
        <w:t>Business</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Management’s Discussion and Analysis of Financial Condition and Results of Operations</w:t>
      </w:r>
      <w:r>
        <w:rPr>
          <w:rFonts w:ascii="Times New Roman;Times;Serif" w:hAnsi="Times New Roman;Times;Serif"/>
          <w:b w:val="false"/>
          <w:i w:val="false"/>
          <w:caps w:val="false"/>
          <w:smallCaps w:val="false"/>
          <w:sz w:val="20"/>
        </w:rPr>
        <w:t>,” as supplemented by our subsequent Quarterly Reports on Form 10-Q or our Current Reports on Form 8-K, discussing some of the factors that we believe could cause actual results or events to differ materially from the forward-looking statements that we are making including, but are not limited to, research and product development uncertainties, regulatory policies and approval requirements, competition from other similar businesses, and market and general economic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900,153 shares of common stock issuable upon the exercise of currently outstanding preferred investment options, in each case that are being offered for resale by the selling stockholders will be sold for the accounts of the selling stockholders named in this prospectus. As a result, all proceeds from the sales of such shares of common stock offered for resale hereby will go to the selling stockholders, and we will not receive any proceeds from the resale of those shares of common stock by the selling stockholders.</w:t>
      </w:r>
    </w:p>
    <w:p>
      <w:pPr>
        <w:pStyle w:val="TextBody"/>
        <w:bidi w:val="0"/>
        <w:spacing w:before="0" w:after="0"/>
        <w:ind w:left="13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receive up to a total of approximately $2.1 million in gross proceeds if all of the 900,153 preferred investment options are exercised by the selling stockholders for cash. However, as we are unable to predict the timing or amount of potential exercises of the options, we have not allocated any proceeds of such exercises to any particular purpose. Accordingly, all such proceeds, if any, would be allocated to working capital. Pursuant to conditions set forth in the options, the options are exercisable under certain circumstances on a cashless basis. Should a selling stockholder elect to exercise on a cashless basis we will not receive any proceeds from the sale of common stock issued upon the cashless exercise of the option.</w:t>
      </w:r>
    </w:p>
    <w:p>
      <w:pPr>
        <w:pStyle w:val="TextBody"/>
        <w:bidi w:val="0"/>
        <w:spacing w:before="0" w:after="0"/>
        <w:ind w:left="13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incur all costs associated with this registration statement and prospectus.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SELLING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regarding the selling stockholders and the shares of common stock beneficially owned by them. The selling stockholders may offer the shares under this prospectus from time to time and may elect to sell some, all, or none of the shares set forth under this prospectus. However, for the purposes of the table below, we have assumed that, after completion of the offering, none of the shares covered by this prospectus will be held by the selling stockholders. In addition, a selling stockholder may have sold, transferred or otherwise disposed of all or a portion of that holder’s shares of common stock since the date on which the selling stockholder provided information for this table. We have not made independent inquiries about such transfers or dispositions. See the section entitled “Plan of Distribution” beginning on page 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Rule 13d-3(d) promulgated by the SEC under the Exchange Act. Unless otherwise provided, the percentage of shares beneficially owned prior to the offering is based on 67,158,044 shares of our common stock outstanding as of October 10, 2025.</w:t>
      </w:r>
    </w:p>
    <w:p>
      <w:pPr>
        <w:pStyle w:val="TextBody"/>
        <w:bidi w:val="0"/>
        <w:spacing w:before="0" w:after="0"/>
        <w:ind w:left="0" w:right="0" w:hanging="0"/>
        <w:jc w:val="both"/>
        <w:rPr>
          <w:caps w:val="false"/>
          <w:smallCaps w:val="false"/>
        </w:rPr>
      </w:pPr>
      <w:r>
        <w:rPr>
          <w:caps w:val="false"/>
          <w:smallCaps w:val="false"/>
        </w:rPr>
        <w:t> </w:t>
      </w:r>
    </w:p>
    <w:tbl>
      <w:tblPr>
        <w:tblW w:w="7622" w:type="dxa"/>
        <w:jc w:val="left"/>
        <w:tblInd w:w="0" w:type="dxa"/>
        <w:tblLayout w:type="fixed"/>
        <w:tblCellMar>
          <w:top w:w="0" w:type="dxa"/>
          <w:left w:w="0" w:type="dxa"/>
          <w:bottom w:w="0" w:type="dxa"/>
          <w:right w:w="0" w:type="dxa"/>
        </w:tblCellMar>
      </w:tblPr>
      <w:tblGrid>
        <w:gridCol w:w="2195"/>
        <w:gridCol w:w="60"/>
        <w:gridCol w:w="68"/>
        <w:gridCol w:w="972"/>
        <w:gridCol w:w="60"/>
        <w:gridCol w:w="60"/>
        <w:gridCol w:w="64"/>
        <w:gridCol w:w="406"/>
        <w:gridCol w:w="185"/>
        <w:gridCol w:w="60"/>
        <w:gridCol w:w="92"/>
        <w:gridCol w:w="1082"/>
        <w:gridCol w:w="60"/>
        <w:gridCol w:w="60"/>
        <w:gridCol w:w="91"/>
        <w:gridCol w:w="1057"/>
        <w:gridCol w:w="91"/>
        <w:gridCol w:w="91"/>
        <w:gridCol w:w="91"/>
        <w:gridCol w:w="577"/>
        <w:gridCol w:w="200"/>
      </w:tblGrid>
      <w:tr>
        <w:trPr/>
        <w:tc>
          <w:tcPr>
            <w:tcW w:w="21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gridSpan w:val="2"/>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8"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Common</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Beneficially</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After Sale of All</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Common</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Pursuant to this</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tc>
        <w:tc>
          <w:tcPr>
            <w:tcW w:w="200" w:type="dxa"/>
            <w:tcBorders/>
            <w:vAlign w:val="center"/>
          </w:tcPr>
          <w:p>
            <w:pPr>
              <w:pStyle w:val="TableContents"/>
              <w:bidi w:val="0"/>
              <w:spacing w:before="0" w:after="283"/>
              <w:jc w:val="left"/>
              <w:rPr/>
            </w:pPr>
            <w:r>
              <w:rPr/>
              <w:t> </w:t>
            </w:r>
          </w:p>
        </w:tc>
      </w:tr>
      <w:tr>
        <w:trPr/>
        <w:tc>
          <w:tcPr>
            <w:tcW w:w="219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Selling Stockholder</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Before</w:t>
              <w:br/>
              <w:t>Any 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 of</w:t>
              <w:br/>
              <w:t>Class</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Stock Offered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Number of</w:t>
              <w:br/>
              <w:t>Shares</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66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 of</w:t>
              <w:br/>
              <w:t>Class</w:t>
            </w:r>
          </w:p>
        </w:tc>
        <w:tc>
          <w:tcPr>
            <w:tcW w:w="200"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Noam Rubenstein</w:t>
            </w:r>
            <w:r>
              <w:rPr>
                <w:rFonts w:ascii="Times New Roman;Times;Serif" w:hAnsi="Times New Roman;Times;Serif"/>
                <w:b w:val="false"/>
                <w:i w:val="false"/>
                <w:caps w:val="false"/>
                <w:smallCaps w:val="false"/>
                <w:position w:val="7"/>
                <w:sz w:val="16"/>
                <w:sz w:val="20"/>
              </w:rPr>
              <w:t>(1)(2)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849,883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283,548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566,335</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1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Vasinkevich</w:t>
            </w:r>
            <w:r>
              <w:rPr>
                <w:rFonts w:ascii="Times New Roman;Times;Serif" w:hAnsi="Times New Roman;Times;Serif"/>
                <w:b w:val="false"/>
                <w:i w:val="false"/>
                <w:caps w:val="false"/>
                <w:smallCaps w:val="false"/>
                <w:position w:val="7"/>
                <w:sz w:val="16"/>
                <w:sz w:val="20"/>
              </w:rPr>
              <w:t>(1)(3)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1,565,600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577,223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988,377</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Craig Schwabe</w:t>
            </w:r>
            <w:r>
              <w:rPr>
                <w:rFonts w:ascii="Times New Roman;Times;Serif" w:hAnsi="Times New Roman;Times;Serif"/>
                <w:b w:val="false"/>
                <w:i w:val="false"/>
                <w:caps w:val="false"/>
                <w:smallCaps w:val="false"/>
                <w:position w:val="7"/>
                <w:sz w:val="16"/>
                <w:sz w:val="20"/>
              </w:rPr>
              <w:t>(1)(4)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81,665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51,285</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195" w:type="dxa"/>
            <w:tcBorders/>
            <w:shd w:fill="FFFFFF" w:val="clear"/>
            <w:vAlign w:val="center"/>
          </w:tcPr>
          <w:p>
            <w:pPr>
              <w:pStyle w:val="TableContents"/>
              <w:bidi w:val="0"/>
              <w:spacing w:before="0" w:after="283"/>
              <w:jc w:val="left"/>
              <w:rPr>
                <w:sz w:val="20"/>
              </w:rPr>
            </w:pPr>
            <w:r>
              <w:rPr>
                <w:sz w:val="20"/>
              </w:rPr>
              <w:t>Charles Worthman</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sz w:val="20"/>
              </w:rPr>
            </w:pPr>
            <w:r>
              <w:rPr>
                <w:sz w:val="20"/>
              </w:rPr>
              <w:t>26,981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right"/>
              <w:rPr>
                <w:sz w:val="20"/>
              </w:rPr>
            </w:pPr>
            <w:r>
              <w:rPr>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sz w:val="20"/>
              </w:rPr>
            </w:pPr>
            <w:r>
              <w:rPr>
                <w:sz w:val="20"/>
              </w:rPr>
              <w:t>9,002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sz w:val="20"/>
              </w:rPr>
            </w:pPr>
            <w:r>
              <w:rPr>
                <w:sz w:val="20"/>
              </w:rPr>
              <w:t>17,979</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sz w:val="20"/>
              </w:rPr>
            </w:pPr>
            <w:r>
              <w:rPr>
                <w:sz w:val="20"/>
              </w:rPr>
              <w:t>*</w:t>
            </w:r>
          </w:p>
        </w:tc>
        <w:tc>
          <w:tcPr>
            <w:tcW w:w="200"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b/>
                <w:sz w:val="20"/>
              </w:rPr>
            </w:pPr>
            <w:r>
              <w:rPr>
                <w:b/>
                <w:sz w:val="20"/>
              </w:rPr>
              <w:t>TOTAL</w:t>
            </w:r>
            <w:r>
              <w:rPr>
                <w:b/>
                <w:position w:val="7"/>
                <w:sz w:val="16"/>
                <w:sz w:val="20"/>
              </w:rPr>
              <w:t>(5)</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82"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900,153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beneficial ownership of less than one percent of the outstanding shares of our common stock.</w:t>
            </w:r>
          </w:p>
        </w:tc>
      </w:tr>
      <w:tr>
        <w:trPr/>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Consists of warrants or options to purchase shares of common stock. Each of such selling stockholders is affiliated with H.C. Wainwright &amp; Co., LLC (“Wainwright”), a registered broker dealer with a registered address of c/o H.C. Wainwright &amp; Co., LLC, 430 Park Ave, 3rd Floor, New York, NY 10022, and has sole voting and dispositive power over the securities held. The number of shares beneficially owned prior to this offering consist of shares of common stock issuable upon exercise of placement agent warrants, which were received as compensation for placement agent services provided by Wainwright to the Company from time to time during the fiscal year ending December 31, 2025. Such selling stockholder acquired the placement agent warrants in the ordinary course of business and, at the time the placement agent warrants were acquired, the selling stockholder had no agreement or understanding, directly or indirectly, with any person to distribute such securities. </w:t>
            </w:r>
          </w:p>
        </w:tc>
      </w:tr>
      <w:tr>
        <w:trPr/>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shares of our common stock underlying warrants or preferred investment options held by the selling stockholder. Does not include 2,282,440 shares of our common stock, and an aggregate of 2,306,572 shares of our common stock underlying preferred investment options, beneficially owned by Mr. Rubenstein through Stuywater Capital LLC, which are subject to a beneficial ownership limitation of 4.99%.</w:t>
            </w:r>
          </w:p>
        </w:tc>
      </w:tr>
      <w:tr>
        <w:trPr/>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209,648 shares of our common stock, and an aggregate of 1,355,952 shares of our common stock underlying warrants or preferred investment options held by the selling stockholder. Includes 61,704 shares of our common stock underlying preferred investment options that are directly held by Augustus Trading LLC, of which Michael Vasinkevich is the managing member and may be deemed to have beneficial ownership over such shares.</w:t>
            </w:r>
          </w:p>
        </w:tc>
      </w:tr>
      <w:tr>
        <w:trPr/>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3,247 shares of our common stock underlying preferred investment options that are directly held by Wilson Drive Holdings LLC, of which Craig Schwabe is the managing member and may be deemed to have beneficial ownership over such shares.</w:t>
            </w:r>
          </w:p>
        </w:tc>
      </w:tr>
      <w:tr>
        <w:trPr/>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take into account any 4.99% beneficial ownership limitation that the selling stockholders may be subject to.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any other selling stockholders will be included in prospectus supplements or post-effective amendments, if required. Information about the selling stockholders may change from time to time. Any changed information with respect to which we are given notice will be included in prospectus supplements.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Relationships with the Selling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in connection with the transactions described above and elsewhere in this prospectus, we have not had any material relationships with the selling stockholders in the last three years.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use any one or more of the following methods when disposing of shares or interests therein: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brokerage transactions and transactions in which the broker-dealer solicits purchasers;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trades in which the broker-dealer will attempt to sell the shares as agent, but may position and resell a portion of the block as principal to facilitate the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by a broker-dealer as principal and resale by the broker-dealer for its account;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exchange distribution in accordance with the rules of the applicable exchange;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privately negotiated transactions;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 sales effected after the date the registration statement of which this prospectus is a part is declared effective by the SEC;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writing or settlement of options or other hedging transactions, whether through an options exchange or otherwise;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may agree with the selling stockholders to sell a specified number of such shares at a stipulated price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combination of any such methods of sale;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method permitted by applicable law.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from time to time, pledge or grant a security interest in some or all of the shares of common stock owned by them. If the selling stockholders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successors-in-interest as selling stockholders under this prospectus. The selling stockholders also may transfer the shares of common stock in other circumstances, in which case the transferees, pledgees, or other successors-in-interest will be the selling beneficial owners for purposes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warrants by payment of cash, however, we will receive the exercise price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also may resell all or a portion of the shares in open market transactions in reliance upon Rule 144 under the Securities Act, provided that they meet the criteria and conform to the requirements of that rule.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stockholders who are “underwriters” within the meaning of Section 2(11) of the Securities Act will be subject to the prospectus delivery requirements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the shares of our common stock to be sold, the names of the selling stockholders, the respective purchase prices and public offering prices, the names of any agents, dealers or underwriters, and any applicable commissions or discounts with respect to a particular offer will be set forth in an accompanying prospectus supplement or, if appropriate, a post-effective amendment to the registration statement of which this prospectus is a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all expenses of the registration of the shares of common stock, including, without limitation, SEC filing fees and expenses of compliance with state securities or “blue sky” laws; provided, however, that each selling stockholder will pay all underwriting discounts and selling commissions, if any, and any related legal expenses incurred by it. We will indemnify the selling stockholders against certain liabilities, including some liabilities under the Securities Act, arising in connection with the registration statement of which this prospectus is a part.</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DESCRIPTION OF CAPITAL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summarizes the material terms of our capital stock as of the date of this prospectus. Because it is only a summary, it does not contain all the information that may be important to you. For a complete description of our capital stock, you should refer to our Certificate of Incorporation and our bylaws, and to the provisions of applicable Delaware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capital stock consists of 120,000,000 shares of common stock, par value $0.01, of which 67,158,044 shares were issued and outstanding as of October 10, 2025 and 1,000,000 shares of preferred stock, none of which are issued and outstanding. Our preferred stock and/or common stock may be issued from time to time without prior approval by our stockholders. Our preferred stock and/or common stock may be issued for such consideration as may be fixed from time to time by our Board of Directors. Our Board of Directors may issue such shares of our preferred stock in one or more series, with such voting powers, designations, preferences, and rights or qualifications, limitations or restrictions thereof as shall be stated in the resolution or resolutions.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authorized to issue 120,000,000 shares of common stock, $0.01 par value. Each share of common stock shall have one vote per share for all purposes. The holders of a majority of the shares entitled to vote, present in person or represented by proxy, shall constitute a quorum at all meetings of our stockholders. Our common stock does not provide preemptive, subscription, or conversion rights, and there are no redemption or sinking fund provisions or rights. Our common stock holders are not entitled to cumulative voting for election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stock are entitled to one vote for each share held on all matters submitted to a vote of stockholders and do not have cumulative voting rights. Holders of common stock are entitled to receive proportionately any dividends as may be declared by our Board of Directors, out of funds that we may legally use to pay dividends, subject to any preferential dividend rights of any outstanding series of preferred stock or series of preferred stock that we may designate and issue in the future. All shares of common stock outstanding as of the date of this prospectus and, upon issuance and sale, all shares of common stock that we may offer pursuant to this prospectus, will be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authorized to issue 1,000,000 shares of preferred stock. Our Board of Directors is authorized to cause us to issue, from our authorized but unissued shares of preferred stock, one or more series of preferred stock, to establish from time to time the number of shares to be included in each such series, as well as to fix the designation and any preferences, conversion, and other rights and limitations of such series. These rights and limitations may include voting powers, limitations as to dividends, and qualifications and terms and conditions of redemption of the shares of each such series. As of the date of this prospectus, no shares of our preferred stock were outstanding or designated.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October 10, 2025, we had: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3,014,365 shares of our common stock issuable upon the exercise of outstanding stock options granted to employees, directors and consultants, with exercise prices ranging from approximately $0.005 to $15.75 and having a weighted-average exercise price of $4.2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156,585 shares of our common stock reserved for future grant under our 2017 Equity Incentive Plan;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2,678,798 shares of our common stock reserved for future grant under our 2020 Omnibus Performance Award Plan.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 and Preferred Investment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October 10, 2025, we had outstanding: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51,125 shares of our common stock issuable upon the exercise of outstanding placement agent warrants expiring in October 2027, at an exercise price per share of $6.1125;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32,778 shares of our common stock issuable upon the exercise of outstanding placement agent warrants expiring in November 2026, at an exercise price per share of $2.75;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60,476 shares of our common stock issuable upon the exercise of outstanding placement agent warrants expiring in November 2026, at an exercise price per share of $2.75;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35,088 shares of our common stock issuable upon the exercise of outstanding placement agent warrants expiring in June 2028, at an exercise price per share of $2.6719;</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31,231 shares of our common stock issuable upon the exercise of outstanding placement agent warrants expiring in June 2028, at an exercise price per share of $4.0625;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84,284 shares of our common stock issuable upon the exercise of outstanding placement agent preferred investment options expiring in July 2029, at an exercise price per share of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28,102 shares of our common stock issuable upon the exercise of outstanding placement agent preferred investment options expiring in June 2026, at an exercise price per share of $1.875;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71,750 shares of our common stock issuable upon the exercise of outstanding placement agent preferred investment options expiring in January 2027, at an exercise price per share of $2.1875;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189,428 shares of our common stock issuable upon the exercise of outstanding placement agent preferred investment options expiring in January 2027, at an exercise price per share of $2.625;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109,478 shares of our common stock issuable upon the exercise of outstanding placement agent preferred investment options expiring in June 2027, at an exercise price per share of $2.6625;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30,526 shares of our common stock issuable upon the exercise of outstanding placement agent preferred investment options expiring in July 2030, at an exercise price per share of $1.875;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10,362 shares of our common stock issuable upon the exercise of outstanding placement agent preferred investment options expiring in March 2028, at an exercise price per share of $1.875;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31,429 shares of our common stock issuable upon the exercise of outstanding placement agent preferred investment options expiring in March 2028, at an exercise price per share of $2.1875;</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138,906 shares of our common stock issuable upon the exercise of outstanding placement agent preferred investment options expiring in March 2028, at an exercise price per share of $2.625;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422,535 shares of our common stock issuable upon the exercise of outstanding placement agent preferred investment options expiring in March 2028, at an exercise price per share of $2.6625;</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13,989,115 shares of our common stock issuable upon the exercise of outstanding series J preferred investment options expiring between March 2028 and April 2028, at an exercise price per share of $4.50;</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96,224 shares of our common stock issuable upon the exercise of outstanding placement agent preferred investment options expiring in April 2028, at an exercise price per share of $2.625;</w:t>
            </w:r>
          </w:p>
          <w:p>
            <w:pPr>
              <w:pStyle w:val="TableContents"/>
              <w:bidi w:val="0"/>
              <w:spacing w:before="0" w:after="0"/>
              <w:ind w:left="180" w:right="0" w:hanging="9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53,758 shares of our common stock issuable to the selling stockholders upon the exercise of outstanding 5½ year preferred investment options at an exercise price per share of $1.875;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146,306 shares of our common stock issuable to the selling stockholders upon the exercise of outstanding 2 year preferred investment options, at an exercise price per share of $1.875;</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368,572 shares of our common stock issuable to the selling stockholders upon the exercise of outstanding 2 year preferred investment options, at an exercise price per share of $2.1875;</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143,723 shares of our common stock issuable to the selling stockholders upon the exercise of outstanding 2 year preferred investment options, at an exercise price per share of $2.625; and</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187,794 shares of our common stock issuable to the selling stockholders upon the exercise of outstanding 2 year preferred investment options, at an exercise price per share of $2.6625.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being registered pursuant to the Registration Statement on Form S-3 of which this prospectus forms a part, are underlying our 53,758 5½-year placement agent preferred investment options at an exercise price per share of $1.875; 146,306 2-year placement agent preferred investment options at an exercise price per share of $1.875; 368,572 2-year placement agent preferred investment options at an exercise price per share of $2.1875; 143,723 2-year placement agent preferred investment options at an exercise price per share of $2.625; and 187,794 2-year placement agent preferred investment options at an exercise price per share of $2.6625.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our common stock are currently quoted on the Nasdaq Capital Market under the symbol “MBOT.”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of our common stock is Computershare Trust Company, N.A. Its address is 150 Royall Street, Canton, MA 02021.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Provisions of Delaware Law and of the Company’s Certificate of Incorporation and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Delaware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anti-takeover provisions of Section 203 of the Delaware General Corporation Law or “DGCL.” Section 203 prohibits a publicly-held Delaware corporation from engaging in a “business combination” with an “interested stockholder” for a period of three years after the date of the transaction in which the person became an interested stockholder, unless the business combination is, or the transaction in which the person became an interested stockholder was, approved in a prescribed manner or another prescribed exception applies. For purposes of Section 203, a “business combination” is defined broadly to include a merger, asset sale, or other transaction resulting in a financial benefit to the interested stockholder, and, subject to certain exceptions, an “interested stockholder” is a person who, together with his or her affiliates and associates, owns, or within three years prior, did own, 15% or more of the corporation’s voting stock.</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Staggered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restated Certificate of Incorporation and restated bylaws provide for the Board of Directors to be divided into three classes serving staggered terms. At each annual meeting of stockholders, directors elected to succeed those directors whose terms expire are elected for a three-year term of office. All directors elected to our classified Board of Directors will serve until the election and qualification of their respective successors or their earlier resignation or removal. The Board of Directors is authorized to create new directorships and to fill such positions so created and is permitted to specify the class to which any such new position is assigned. The person filling such position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and only by the affirmative vote of 80% of the outstanding voting stock.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 The provision for a classified board could prevent a party who acquires control of a majority of our outstanding common stock from obtaining control of our Board of Directors until our second annual stockholders meeting following the date the acquirer obtains the controlling stock interest. The classified board provision could have the effect of discouraging a potential acquirer from making a tender offer or otherwise attempting to obtain control of us and could increase the likelihood that incumbent directors will retain their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Advance notice provisions for stockholder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restated bylaws establish an advance notice procedure for stockholder nominations of candidates for election to our Board of Directors, as well as procedures for including proposed nominations at special meetings at which directors are to be elected. Stockholders at our annual meeting may only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to our secretary timely written notice, in proper form, of the stockholder’s intention to bring that business before the meeting, and who has complied with the procedures and requirements set forth in the bylaws. Although the bylaws do not give the Board of Directors the power to approve or disapprove stockholder nominations of candidates or proposals regarding other business to be conducted at a special or annual meeting, these bylaws may have the effect of precluding the conduct of some business at a meeting if the proper procedures are not followed or may discourage or defer a potential acquirer from conducting a solicitation of proxies to elect its own slate of directors or otherwise attempting to obtain control of Microbot.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Special meetings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meetings of the stockholders may be called only by the Board of Directors, president, or secretary upon the application of a majority of the directors. Stockholders are not permitted to call a special meeting or to require our Board of Directors to call a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 stockholder action by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restated Certificate of Incorporation and restated bylaws do not permit our stockholders to act by written consent. As a result, any action to be effected by our stockholders must be effected at a duly called annual or special meeting of the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Super-majority stockholder vote required for certain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restated Certificate of Incorporation requires the affirmative vote of the holders of at least 80% of our outstanding voting stock to amend or repeal certain provisions of our restated certificate of incorporation. This 80% stockholder vote would be in addition to any separate class vote that might in the future be required pursuant to the terms of any preferred stock that might then be outstanding. In addition, an 80% vote is also required for any amendment to, or repeal of, our restated bylaws by the stockholders. Our restated bylaws may be amended or repealed by a vote of a majority of the total number of authorized directors.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 of Liability and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restated Certificate of Incorporation and our amended and restated bylaws provide that each person who was or is made a party to, or is threatened to be made a party to, or is otherwise involved (including, without limitation, as a witness) in any action, suit, or proceeding, whether civil, criminal, administrative, or investigative, by reason of the fact that he or she is or was one of our directors or officers or is or was serving at our request as a director, officer, or trustee of another corporation, or of a partnership, joint venture, trust or other enterprise, including service with respect to an employee benefit plan, whether the basis of such proceeding is alleged action in an official capacity as a director, officer, or trustee, or in any other capacity while serving as a director, officer, or trustee, shall be indemnified and held harmless by us to the fullest extent authorized by the DGCL against all expense, liability, and loss (including attorneys’ fees, judgments, fines, ERISA excise taxes, or penalties and amounts paid in settlement) reasonably incurred or suffered by such.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DGCL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corporation, and, with respect to any criminal action or proceeding, if he or she had no reasonable cause to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Delaware Chancery Court or the court in which the action or suit was brought shall determine that such person is fairly and reasonably entitled to indemnity for such expenses despite such adjudication of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102(b)(7) of the DGCL, Article Nine of our restated Certificate of Incorporation eliminates the liability of a director to us or our stockholders for monetary damages for such a breach of fiduciary duty as a director, except for liabilities arising:</w:t>
      </w:r>
    </w:p>
    <w:p>
      <w:pPr>
        <w:pStyle w:val="TextBody"/>
        <w:bidi w:val="0"/>
        <w:spacing w:before="0" w:after="0"/>
        <w:ind w:left="0" w:right="0" w:hanging="0"/>
        <w:jc w:val="both"/>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75"/>
        <w:gridCol w:w="170"/>
        <w:gridCol w:w="91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any breach of the director’s duty of loyalty to us or our stockholders;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1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acts or omissions not in good faith or which involve intentional misconduct or a knowing violation of law;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1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174 of the DGCL;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1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any transaction from which the director derived an improper personal benefit.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indemnification agreements with our directors and certain officers, in addition to the indemnification provided in our restated certificate of incorporation and our amended and restated bylaws, and intend to enter into indemnification agreements with any new directors and executive officers in the future. We have purchased and intend to maintain insurance on behalf of any person who is or was a director or officer against any loss arising from any claim asserted against him or her and incurred by him or her in any such capacity, subject to certain exclusions.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discussion of our restated Certificate of Incorporation, amended and restated bylaws, indemnification agreements, indemnity agreement, and Delaware law is not intended to be exhaustive and is qualified in its entirety by such restated certificate of incorporation, amended and restated bylaws, indemnification agreements, indemnity agreement, or law.</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shares being offered under this prospectus by us will be passed upon for us by Ruskin Moscou Faltischek, P.C., Uniondale,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Microbot Medical Inc. as of December 31, 2024 and 2023, and for each of the two years in the period ended December 31, 2024, incorporated by reference in this prospectus, have been audited by Brightman Almagor Zohar and Co., a Firm in the Deloitte Global Network, an independent registered public accounting firm, as stated in their report. Such consolidated financial statements are incorporated by reference in reliance upon the report of such firm given their authority as experts in accounting and auditing.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reporting requirements of the Exchange Act and file annual, quarterly and current reports, proxy statements and other information with the SEC. SEC filings are available at the SEC’s website at http://www.sec.gov.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and the documents referred to below under “Incorporation of Certain Information by Reference” are also available on our website at http://www.microbotmedical.com. We have not incorporated by reference into this prospectus the information on our website, and you should not consider it to be a part of this prospectus.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INCORPORATION OF CERTAIN INFORMATION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are available at the SEC’s website at http://www.sec.gov. The documents we are incorporating by reference are: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on </w:t>
            </w:r>
            <w:hyperlink r:id="rId3">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year ended December 31, 2024 filed with the SEC on March 25, 2025;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Quarterly Reports on Form 10-Q for the quarterly periods ended </w:t>
            </w:r>
            <w:hyperlink r:id="rId4">
              <w:r>
                <w:rPr>
                  <w:rStyle w:val="InternetLink"/>
                  <w:rFonts w:ascii="Times New Roman;Times;Serif" w:hAnsi="Times New Roman;Times;Serif"/>
                  <w:b w:val="false"/>
                  <w:i w:val="false"/>
                  <w:caps w:val="false"/>
                  <w:smallCaps w:val="false"/>
                  <w:sz w:val="20"/>
                </w:rPr>
                <w:t>March 31, 2025</w:t>
              </w:r>
            </w:hyperlink>
            <w:r>
              <w:rPr>
                <w:rFonts w:ascii="Times New Roman;Times;Serif" w:hAnsi="Times New Roman;Times;Serif"/>
                <w:b w:val="false"/>
                <w:i w:val="false"/>
                <w:caps w:val="false"/>
                <w:smallCaps w:val="false"/>
                <w:sz w:val="20"/>
              </w:rPr>
              <w:t xml:space="preserve"> and </w:t>
            </w:r>
            <w:hyperlink r:id="rId5">
              <w:r>
                <w:rPr>
                  <w:rStyle w:val="InternetLink"/>
                  <w:rFonts w:ascii="Times New Roman;Times;Serif" w:hAnsi="Times New Roman;Times;Serif"/>
                  <w:b w:val="false"/>
                  <w:i w:val="false"/>
                  <w:caps w:val="false"/>
                  <w:smallCaps w:val="false"/>
                  <w:sz w:val="20"/>
                </w:rPr>
                <w:t>June 30, 2025</w:t>
              </w:r>
            </w:hyperlink>
            <w:r>
              <w:rPr>
                <w:rFonts w:ascii="Times New Roman;Times;Serif" w:hAnsi="Times New Roman;Times;Serif"/>
                <w:b w:val="false"/>
                <w:i w:val="false"/>
                <w:caps w:val="false"/>
                <w:smallCaps w:val="false"/>
                <w:sz w:val="20"/>
              </w:rPr>
              <w:t xml:space="preserve"> that we filed with the SEC on March 14, 2025 and August 12,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Current Reports on Form 8-K filed with the SEC on </w:t>
            </w:r>
            <w:hyperlink r:id="rId6">
              <w:r>
                <w:rPr>
                  <w:rStyle w:val="InternetLink"/>
                  <w:rFonts w:ascii="Times New Roman;Times;Serif" w:hAnsi="Times New Roman;Times;Serif"/>
                  <w:b w:val="false"/>
                  <w:i w:val="false"/>
                  <w:caps w:val="false"/>
                  <w:smallCaps w:val="false"/>
                  <w:sz w:val="20"/>
                </w:rPr>
                <w:t>January 6, 2025</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January 7, 2025</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January 10, 2025</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January 24, 2025</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January 27, 2025</w:t>
              </w:r>
            </w:hyperlink>
            <w:r>
              <w:rPr>
                <w:rFonts w:ascii="Times New Roman;Times;Serif" w:hAnsi="Times New Roman;Times;Serif"/>
                <w:b w:val="false"/>
                <w:i w:val="false"/>
                <w:caps w:val="false"/>
                <w:smallCaps w:val="false"/>
                <w:sz w:val="20"/>
              </w:rPr>
              <w:t xml:space="preserve">, </w:t>
            </w:r>
            <w:hyperlink r:id="rId11">
              <w:r>
                <w:rPr>
                  <w:rStyle w:val="InternetLink"/>
                  <w:rFonts w:ascii="Times New Roman;Times;Serif" w:hAnsi="Times New Roman;Times;Serif"/>
                  <w:b w:val="false"/>
                  <w:i w:val="false"/>
                  <w:caps w:val="false"/>
                  <w:smallCaps w:val="false"/>
                  <w:sz w:val="20"/>
                </w:rPr>
                <w:t>February 7, 2025</w:t>
              </w:r>
            </w:hyperlink>
            <w:r>
              <w:rPr>
                <w:rFonts w:ascii="Times New Roman;Times;Serif" w:hAnsi="Times New Roman;Times;Serif"/>
                <w:b w:val="false"/>
                <w:i w:val="false"/>
                <w:caps w:val="false"/>
                <w:smallCaps w:val="false"/>
                <w:sz w:val="20"/>
              </w:rPr>
              <w:t xml:space="preserve">, </w:t>
            </w:r>
            <w:hyperlink r:id="rId12">
              <w:r>
                <w:rPr>
                  <w:rStyle w:val="InternetLink"/>
                  <w:rFonts w:ascii="Times New Roman;Times;Serif" w:hAnsi="Times New Roman;Times;Serif"/>
                  <w:b w:val="false"/>
                  <w:i w:val="false"/>
                  <w:caps w:val="false"/>
                  <w:smallCaps w:val="false"/>
                  <w:sz w:val="20"/>
                </w:rPr>
                <w:t>February 10, 2025</w:t>
              </w:r>
            </w:hyperlink>
            <w:r>
              <w:rPr>
                <w:rFonts w:ascii="Times New Roman;Times;Serif" w:hAnsi="Times New Roman;Times;Serif"/>
                <w:b w:val="false"/>
                <w:i w:val="false"/>
                <w:caps w:val="false"/>
                <w:smallCaps w:val="false"/>
                <w:sz w:val="20"/>
              </w:rPr>
              <w:t xml:space="preserve">, </w:t>
            </w:r>
            <w:hyperlink r:id="rId13">
              <w:r>
                <w:rPr>
                  <w:rStyle w:val="InternetLink"/>
                  <w:rFonts w:ascii="Times New Roman;Times;Serif" w:hAnsi="Times New Roman;Times;Serif"/>
                  <w:b w:val="false"/>
                  <w:i w:val="false"/>
                  <w:caps w:val="false"/>
                  <w:smallCaps w:val="false"/>
                  <w:sz w:val="20"/>
                </w:rPr>
                <w:t>February 11, 2025</w:t>
              </w:r>
            </w:hyperlink>
            <w:r>
              <w:rPr>
                <w:rFonts w:ascii="Times New Roman;Times;Serif" w:hAnsi="Times New Roman;Times;Serif"/>
                <w:b w:val="false"/>
                <w:i w:val="false"/>
                <w:caps w:val="false"/>
                <w:smallCaps w:val="false"/>
                <w:sz w:val="20"/>
              </w:rPr>
              <w:t xml:space="preserve">, </w:t>
            </w:r>
            <w:hyperlink r:id="rId14">
              <w:r>
                <w:rPr>
                  <w:rStyle w:val="InternetLink"/>
                  <w:rFonts w:ascii="Times New Roman;Times;Serif" w:hAnsi="Times New Roman;Times;Serif"/>
                  <w:b w:val="false"/>
                  <w:i w:val="false"/>
                  <w:caps w:val="false"/>
                  <w:smallCaps w:val="false"/>
                  <w:sz w:val="20"/>
                </w:rPr>
                <w:t>February 12, 2025</w:t>
              </w:r>
            </w:hyperlink>
            <w:r>
              <w:rPr>
                <w:rFonts w:ascii="Times New Roman;Times;Serif" w:hAnsi="Times New Roman;Times;Serif"/>
                <w:b w:val="false"/>
                <w:i w:val="false"/>
                <w:caps w:val="false"/>
                <w:smallCaps w:val="false"/>
                <w:sz w:val="20"/>
              </w:rPr>
              <w:t xml:space="preserve"> and </w:t>
            </w:r>
            <w:hyperlink r:id="rId15">
              <w:r>
                <w:rPr>
                  <w:rStyle w:val="InternetLink"/>
                  <w:rFonts w:ascii="Times New Roman;Times;Serif" w:hAnsi="Times New Roman;Times;Serif"/>
                  <w:b w:val="false"/>
                  <w:i w:val="false"/>
                  <w:caps w:val="false"/>
                  <w:smallCaps w:val="false"/>
                  <w:sz w:val="20"/>
                </w:rPr>
                <w:t>February 25, 2025</w:t>
              </w:r>
            </w:hyperlink>
            <w:r>
              <w:rPr>
                <w:rFonts w:ascii="Times New Roman;Times;Serif" w:hAnsi="Times New Roman;Times;Serif"/>
                <w:b w:val="false"/>
                <w:i w:val="false"/>
                <w:caps w:val="false"/>
                <w:smallCaps w:val="false"/>
                <w:sz w:val="20"/>
              </w:rPr>
              <w:t xml:space="preserve">; </w:t>
            </w:r>
            <w:hyperlink r:id="rId16">
              <w:r>
                <w:rPr>
                  <w:rStyle w:val="InternetLink"/>
                  <w:rFonts w:ascii="Times New Roman;Times;Serif" w:hAnsi="Times New Roman;Times;Serif"/>
                  <w:b w:val="false"/>
                  <w:i w:val="false"/>
                  <w:caps w:val="false"/>
                  <w:smallCaps w:val="false"/>
                  <w:sz w:val="20"/>
                </w:rPr>
                <w:t>April 9, 2025</w:t>
              </w:r>
            </w:hyperlink>
            <w:r>
              <w:rPr>
                <w:rFonts w:ascii="Times New Roman;Times;Serif" w:hAnsi="Times New Roman;Times;Serif"/>
                <w:b w:val="false"/>
                <w:i w:val="false"/>
                <w:caps w:val="false"/>
                <w:smallCaps w:val="false"/>
                <w:sz w:val="20"/>
              </w:rPr>
              <w:t xml:space="preserve">; </w:t>
            </w:r>
            <w:hyperlink r:id="rId17">
              <w:r>
                <w:rPr>
                  <w:rStyle w:val="InternetLink"/>
                  <w:rFonts w:ascii="Times New Roman;Times;Serif" w:hAnsi="Times New Roman;Times;Serif"/>
                  <w:b w:val="false"/>
                  <w:i w:val="false"/>
                  <w:caps w:val="false"/>
                  <w:smallCaps w:val="false"/>
                  <w:sz w:val="20"/>
                </w:rPr>
                <w:t>April 15, 2025</w:t>
              </w:r>
            </w:hyperlink>
            <w:r>
              <w:rPr>
                <w:rFonts w:ascii="Times New Roman;Times;Serif" w:hAnsi="Times New Roman;Times;Serif"/>
                <w:b w:val="false"/>
                <w:i w:val="false"/>
                <w:caps w:val="false"/>
                <w:smallCaps w:val="false"/>
                <w:sz w:val="20"/>
              </w:rPr>
              <w:t xml:space="preserve">; </w:t>
            </w:r>
            <w:hyperlink r:id="rId18">
              <w:r>
                <w:rPr>
                  <w:rStyle w:val="InternetLink"/>
                  <w:rFonts w:ascii="Times New Roman;Times;Serif" w:hAnsi="Times New Roman;Times;Serif"/>
                  <w:b w:val="false"/>
                  <w:i w:val="false"/>
                  <w:caps w:val="false"/>
                  <w:smallCaps w:val="false"/>
                  <w:sz w:val="20"/>
                </w:rPr>
                <w:t>April 17, 2025</w:t>
              </w:r>
            </w:hyperlink>
            <w:r>
              <w:rPr>
                <w:rFonts w:ascii="Times New Roman;Times;Serif" w:hAnsi="Times New Roman;Times;Serif"/>
                <w:b w:val="false"/>
                <w:i w:val="false"/>
                <w:caps w:val="false"/>
                <w:smallCaps w:val="false"/>
                <w:sz w:val="20"/>
              </w:rPr>
              <w:t xml:space="preserve">; </w:t>
            </w:r>
            <w:hyperlink r:id="rId19">
              <w:r>
                <w:rPr>
                  <w:rStyle w:val="InternetLink"/>
                  <w:rFonts w:ascii="Times New Roman;Times;Serif" w:hAnsi="Times New Roman;Times;Serif"/>
                  <w:b w:val="false"/>
                  <w:i w:val="false"/>
                  <w:caps w:val="false"/>
                  <w:smallCaps w:val="false"/>
                  <w:sz w:val="20"/>
                </w:rPr>
                <w:t>April 23, 2025</w:t>
              </w:r>
            </w:hyperlink>
            <w:r>
              <w:rPr>
                <w:rFonts w:ascii="Times New Roman;Times;Serif" w:hAnsi="Times New Roman;Times;Serif"/>
                <w:b w:val="false"/>
                <w:i w:val="false"/>
                <w:caps w:val="false"/>
                <w:smallCaps w:val="false"/>
                <w:sz w:val="20"/>
              </w:rPr>
              <w:t xml:space="preserve">; </w:t>
            </w:r>
            <w:hyperlink r:id="rId20">
              <w:r>
                <w:rPr>
                  <w:rStyle w:val="InternetLink"/>
                  <w:rFonts w:ascii="Times New Roman;Times;Serif" w:hAnsi="Times New Roman;Times;Serif"/>
                  <w:b w:val="false"/>
                  <w:i w:val="false"/>
                  <w:caps w:val="false"/>
                  <w:smallCaps w:val="false"/>
                  <w:sz w:val="20"/>
                </w:rPr>
                <w:t>June 9, 2025</w:t>
              </w:r>
            </w:hyperlink>
            <w:r>
              <w:rPr>
                <w:rFonts w:ascii="Times New Roman;Times;Serif" w:hAnsi="Times New Roman;Times;Serif"/>
                <w:b w:val="false"/>
                <w:i w:val="false"/>
                <w:caps w:val="false"/>
                <w:smallCaps w:val="false"/>
                <w:sz w:val="20"/>
              </w:rPr>
              <w:t xml:space="preserve">; </w:t>
            </w:r>
            <w:hyperlink r:id="rId21">
              <w:r>
                <w:rPr>
                  <w:rStyle w:val="InternetLink"/>
                  <w:rFonts w:ascii="Times New Roman;Times;Serif" w:hAnsi="Times New Roman;Times;Serif"/>
                  <w:b w:val="false"/>
                  <w:i w:val="false"/>
                  <w:caps w:val="false"/>
                  <w:smallCaps w:val="false"/>
                  <w:sz w:val="20"/>
                </w:rPr>
                <w:t>June 11, 2025</w:t>
              </w:r>
            </w:hyperlink>
            <w:r>
              <w:rPr>
                <w:rFonts w:ascii="Times New Roman;Times;Serif" w:hAnsi="Times New Roman;Times;Serif"/>
                <w:b w:val="false"/>
                <w:i w:val="false"/>
                <w:caps w:val="false"/>
                <w:smallCaps w:val="false"/>
                <w:sz w:val="20"/>
              </w:rPr>
              <w:t xml:space="preserve">; </w:t>
            </w:r>
            <w:hyperlink r:id="rId22">
              <w:r>
                <w:rPr>
                  <w:rStyle w:val="InternetLink"/>
                  <w:rFonts w:ascii="Times New Roman;Times;Serif" w:hAnsi="Times New Roman;Times;Serif"/>
                  <w:b w:val="false"/>
                  <w:i w:val="false"/>
                  <w:caps w:val="false"/>
                  <w:smallCaps w:val="false"/>
                  <w:sz w:val="20"/>
                </w:rPr>
                <w:t>June 17, 2025</w:t>
              </w:r>
            </w:hyperlink>
            <w:r>
              <w:rPr>
                <w:rFonts w:ascii="Times New Roman;Times;Serif" w:hAnsi="Times New Roman;Times;Serif"/>
                <w:b w:val="false"/>
                <w:i w:val="false"/>
                <w:caps w:val="false"/>
                <w:smallCaps w:val="false"/>
                <w:sz w:val="20"/>
              </w:rPr>
              <w:t xml:space="preserve">; </w:t>
            </w:r>
            <w:hyperlink r:id="rId23">
              <w:r>
                <w:rPr>
                  <w:rStyle w:val="InternetLink"/>
                  <w:rFonts w:ascii="Times New Roman;Times;Serif" w:hAnsi="Times New Roman;Times;Serif"/>
                  <w:b w:val="false"/>
                  <w:i w:val="false"/>
                  <w:caps w:val="false"/>
                  <w:smallCaps w:val="false"/>
                  <w:sz w:val="20"/>
                </w:rPr>
                <w:t>July 17, 2025</w:t>
              </w:r>
            </w:hyperlink>
            <w:r>
              <w:rPr>
                <w:rFonts w:ascii="Times New Roman;Times;Serif" w:hAnsi="Times New Roman;Times;Serif"/>
                <w:b w:val="false"/>
                <w:i w:val="false"/>
                <w:caps w:val="false"/>
                <w:smallCaps w:val="false"/>
                <w:sz w:val="20"/>
              </w:rPr>
              <w:t xml:space="preserve">; </w:t>
            </w:r>
            <w:hyperlink r:id="rId24">
              <w:r>
                <w:rPr>
                  <w:rStyle w:val="InternetLink"/>
                  <w:rFonts w:ascii="Times New Roman;Times;Serif" w:hAnsi="Times New Roman;Times;Serif"/>
                  <w:b w:val="false"/>
                  <w:i w:val="false"/>
                  <w:caps w:val="false"/>
                  <w:smallCaps w:val="false"/>
                  <w:sz w:val="20"/>
                </w:rPr>
                <w:t>July 30, 2025</w:t>
              </w:r>
            </w:hyperlink>
            <w:r>
              <w:rPr>
                <w:rFonts w:ascii="Times New Roman;Times;Serif" w:hAnsi="Times New Roman;Times;Serif"/>
                <w:b w:val="false"/>
                <w:i w:val="false"/>
                <w:caps w:val="false"/>
                <w:smallCaps w:val="false"/>
                <w:sz w:val="20"/>
              </w:rPr>
              <w:t xml:space="preserve">; </w:t>
            </w:r>
            <w:hyperlink r:id="rId25">
              <w:r>
                <w:rPr>
                  <w:rStyle w:val="InternetLink"/>
                  <w:rFonts w:ascii="Times New Roman;Times;Serif" w:hAnsi="Times New Roman;Times;Serif"/>
                  <w:b w:val="false"/>
                  <w:i w:val="false"/>
                  <w:caps w:val="false"/>
                  <w:smallCaps w:val="false"/>
                  <w:sz w:val="20"/>
                </w:rPr>
                <w:t>August 5, 2025</w:t>
              </w:r>
            </w:hyperlink>
            <w:r>
              <w:rPr>
                <w:rFonts w:ascii="Times New Roman;Times;Serif" w:hAnsi="Times New Roman;Times;Serif"/>
                <w:b w:val="false"/>
                <w:i w:val="false"/>
                <w:caps w:val="false"/>
                <w:smallCaps w:val="false"/>
                <w:sz w:val="20"/>
              </w:rPr>
              <w:t xml:space="preserve">; </w:t>
            </w:r>
            <w:hyperlink r:id="rId26">
              <w:r>
                <w:rPr>
                  <w:rStyle w:val="InternetLink"/>
                  <w:rFonts w:ascii="Times New Roman;Times;Serif" w:hAnsi="Times New Roman;Times;Serif"/>
                  <w:b w:val="false"/>
                  <w:i w:val="false"/>
                  <w:caps w:val="false"/>
                  <w:smallCaps w:val="false"/>
                  <w:sz w:val="20"/>
                </w:rPr>
                <w:t>August 20, 2025</w:t>
              </w:r>
            </w:hyperlink>
            <w:r>
              <w:rPr>
                <w:rFonts w:ascii="Times New Roman;Times;Serif" w:hAnsi="Times New Roman;Times;Serif"/>
                <w:b w:val="false"/>
                <w:i w:val="false"/>
                <w:caps w:val="false"/>
                <w:smallCaps w:val="false"/>
                <w:sz w:val="20"/>
              </w:rPr>
              <w:t xml:space="preserve">; </w:t>
            </w:r>
            <w:hyperlink r:id="rId27">
              <w:r>
                <w:rPr>
                  <w:rStyle w:val="InternetLink"/>
                  <w:rFonts w:ascii="Times New Roman;Times;Serif" w:hAnsi="Times New Roman;Times;Serif"/>
                  <w:b w:val="false"/>
                  <w:i w:val="false"/>
                  <w:caps w:val="false"/>
                  <w:smallCaps w:val="false"/>
                  <w:sz w:val="20"/>
                </w:rPr>
                <w:t>August 25, 2025</w:t>
              </w:r>
            </w:hyperlink>
            <w:r>
              <w:rPr>
                <w:rFonts w:ascii="Times New Roman;Times;Serif" w:hAnsi="Times New Roman;Times;Serif"/>
                <w:b w:val="false"/>
                <w:i w:val="false"/>
                <w:caps w:val="false"/>
                <w:smallCaps w:val="false"/>
                <w:sz w:val="20"/>
              </w:rPr>
              <w:t xml:space="preserve">; </w:t>
            </w:r>
            <w:hyperlink r:id="rId28">
              <w:r>
                <w:rPr>
                  <w:rStyle w:val="InternetLink"/>
                  <w:rFonts w:ascii="Times New Roman;Times;Serif" w:hAnsi="Times New Roman;Times;Serif"/>
                  <w:b w:val="false"/>
                  <w:i w:val="false"/>
                  <w:caps w:val="false"/>
                  <w:smallCaps w:val="false"/>
                  <w:sz w:val="20"/>
                </w:rPr>
                <w:t>August 27, 2025</w:t>
              </w:r>
            </w:hyperlink>
            <w:r>
              <w:rPr>
                <w:rFonts w:ascii="Times New Roman;Times;Serif" w:hAnsi="Times New Roman;Times;Serif"/>
                <w:b w:val="false"/>
                <w:i w:val="false"/>
                <w:caps w:val="false"/>
                <w:smallCaps w:val="false"/>
                <w:sz w:val="20"/>
              </w:rPr>
              <w:t xml:space="preserve">; </w:t>
            </w:r>
            <w:hyperlink r:id="rId29">
              <w:r>
                <w:rPr>
                  <w:rStyle w:val="InternetLink"/>
                  <w:rFonts w:ascii="Times New Roman;Times;Serif" w:hAnsi="Times New Roman;Times;Serif"/>
                  <w:b w:val="false"/>
                  <w:i w:val="false"/>
                  <w:caps w:val="false"/>
                  <w:smallCaps w:val="false"/>
                  <w:sz w:val="20"/>
                </w:rPr>
                <w:t>September 8, 2025</w:t>
              </w:r>
            </w:hyperlink>
            <w:r>
              <w:rPr>
                <w:rFonts w:ascii="Times New Roman;Times;Serif" w:hAnsi="Times New Roman;Times;Serif"/>
                <w:b w:val="false"/>
                <w:i w:val="false"/>
                <w:caps w:val="false"/>
                <w:smallCaps w:val="false"/>
                <w:sz w:val="20"/>
              </w:rPr>
              <w:t xml:space="preserve">; </w:t>
            </w:r>
            <w:hyperlink r:id="rId30">
              <w:r>
                <w:rPr>
                  <w:rStyle w:val="InternetLink"/>
                  <w:rFonts w:ascii="Times New Roman;Times;Serif" w:hAnsi="Times New Roman;Times;Serif"/>
                  <w:b w:val="false"/>
                  <w:i w:val="false"/>
                  <w:caps w:val="false"/>
                  <w:smallCaps w:val="false"/>
                  <w:sz w:val="20"/>
                </w:rPr>
                <w:t>September 16, 2025</w:t>
              </w:r>
            </w:hyperlink>
            <w:r>
              <w:rPr>
                <w:rFonts w:ascii="Times New Roman;Times;Serif" w:hAnsi="Times New Roman;Times;Serif"/>
                <w:b w:val="false"/>
                <w:i w:val="false"/>
                <w:caps w:val="false"/>
                <w:smallCaps w:val="false"/>
                <w:sz w:val="20"/>
              </w:rPr>
              <w:t xml:space="preserve">; </w:t>
            </w:r>
            <w:hyperlink r:id="rId31">
              <w:r>
                <w:rPr>
                  <w:rStyle w:val="InternetLink"/>
                  <w:rFonts w:ascii="Times New Roman;Times;Serif" w:hAnsi="Times New Roman;Times;Serif"/>
                  <w:b w:val="false"/>
                  <w:i w:val="false"/>
                  <w:caps w:val="false"/>
                  <w:smallCaps w:val="false"/>
                  <w:sz w:val="20"/>
                </w:rPr>
                <w:t>September 19, 2025</w:t>
              </w:r>
            </w:hyperlink>
            <w:r>
              <w:rPr>
                <w:rFonts w:ascii="Times New Roman;Times;Serif" w:hAnsi="Times New Roman;Times;Serif"/>
                <w:b w:val="false"/>
                <w:i w:val="false"/>
                <w:caps w:val="false"/>
                <w:smallCaps w:val="false"/>
                <w:sz w:val="20"/>
              </w:rPr>
              <w:t xml:space="preserve">; </w:t>
            </w:r>
            <w:hyperlink r:id="rId32">
              <w:r>
                <w:rPr>
                  <w:rStyle w:val="InternetLink"/>
                  <w:rFonts w:ascii="Times New Roman;Times;Serif" w:hAnsi="Times New Roman;Times;Serif"/>
                  <w:b w:val="false"/>
                  <w:i w:val="false"/>
                  <w:caps w:val="false"/>
                  <w:smallCaps w:val="false"/>
                  <w:sz w:val="20"/>
                </w:rPr>
                <w:t>October 1, 2025</w:t>
              </w:r>
            </w:hyperlink>
            <w:r>
              <w:rPr>
                <w:rFonts w:ascii="Times New Roman;Times;Serif" w:hAnsi="Times New Roman;Times;Serif"/>
                <w:b w:val="false"/>
                <w:i w:val="false"/>
                <w:caps w:val="false"/>
                <w:smallCaps w:val="false"/>
                <w:sz w:val="20"/>
              </w:rPr>
              <w:t xml:space="preserve">; </w:t>
            </w:r>
            <w:hyperlink r:id="rId33">
              <w:r>
                <w:rPr>
                  <w:rStyle w:val="InternetLink"/>
                  <w:rFonts w:ascii="Times New Roman;Times;Serif" w:hAnsi="Times New Roman;Times;Serif"/>
                  <w:b w:val="false"/>
                  <w:i w:val="false"/>
                  <w:caps w:val="false"/>
                  <w:smallCaps w:val="false"/>
                  <w:sz w:val="20"/>
                </w:rPr>
                <w:t>October 3, 2025</w:t>
              </w:r>
            </w:hyperlink>
            <w:r>
              <w:rPr>
                <w:rFonts w:ascii="Times New Roman;Times;Serif" w:hAnsi="Times New Roman;Times;Serif"/>
                <w:b w:val="false"/>
                <w:i w:val="false"/>
                <w:caps w:val="false"/>
                <w:smallCaps w:val="false"/>
                <w:sz w:val="20"/>
              </w:rPr>
              <w:t xml:space="preserve">; and </w:t>
            </w:r>
            <w:hyperlink r:id="rId34">
              <w:r>
                <w:rPr>
                  <w:rStyle w:val="InternetLink"/>
                  <w:rFonts w:ascii="Times New Roman;Times;Serif" w:hAnsi="Times New Roman;Times;Serif"/>
                  <w:b w:val="false"/>
                  <w:i w:val="false"/>
                  <w:caps w:val="false"/>
                  <w:smallCaps w:val="false"/>
                  <w:sz w:val="20"/>
                </w:rPr>
                <w:t>October 7, 2025</w:t>
              </w:r>
            </w:hyperlink>
            <w:r>
              <w:rPr>
                <w:rFonts w:ascii="Times New Roman;Times;Serif" w:hAnsi="Times New Roman;Times;Serif"/>
                <w:b w:val="false"/>
                <w:i w:val="false"/>
                <w:caps w:val="false"/>
                <w:smallCaps w:val="false"/>
                <w:sz w:val="20"/>
              </w:rPr>
              <w:t xml:space="preserve"> (except in each case for information contained therein which is furnished rather than filed);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our common stock contained in our registration statement on </w:t>
            </w:r>
            <w:hyperlink r:id="rId35">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xml:space="preserve"> filed August 3, 1998, under the Exchange Act, including any amendment or report filed for the purpose of updating such description;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reports and other documents subsequently filed by us pursuant to Sections 13(a), 13(c), 14, and 15(d) of the Exchange Act, including all such reports and documents we may file with the SEC after the date of filing of the registration statement of which this prospectus forms a part and prior to the effectiveness of such registration statement, except as to any portion of any report or documents that is not deemed filed under such provisions, prior to the termination of this offering.</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file number for each of the documents listed above is 000-19871.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upon written or oral request, without charge to each person, including any beneficial owner, to whom a copy of this prospectus is delivered, a copy of any or all of the information incorporated herein by reference (exclusive of exhibits to such documents unless such exhibits are specifically incorporated by reference herein). You may request a copy of any or all of these filings, at no cost, by writing or telephoning us at: Microbot Medical Inc., Attn: Chief Financial Officer, 175 Derby St., Bld. 27, Hingham, MA 02043. You may also telephone us at (781) 875-3605.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Other Expenses of Issuance and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various expenses in connection with the sale and distribution of the securities being registered, all of which are being borne by us.</w:t>
      </w:r>
    </w:p>
    <w:p>
      <w:pPr>
        <w:pStyle w:val="TextBody"/>
        <w:bidi w:val="0"/>
        <w:spacing w:before="0" w:after="0"/>
        <w:ind w:left="0" w:right="0" w:firstLine="720"/>
        <w:jc w:val="both"/>
        <w:rPr>
          <w:caps w:val="false"/>
          <w:smallCaps w:val="false"/>
        </w:rPr>
      </w:pPr>
      <w:r>
        <w:rPr>
          <w:caps w:val="false"/>
          <w:smallCaps w:val="false"/>
        </w:rPr>
        <w:t> </w:t>
      </w:r>
    </w:p>
    <w:tbl>
      <w:tblPr>
        <w:tblW w:w="4155" w:type="dxa"/>
        <w:jc w:val="center"/>
        <w:tblInd w:w="0" w:type="dxa"/>
        <w:tblLayout w:type="fixed"/>
        <w:tblCellMar>
          <w:top w:w="0" w:type="dxa"/>
          <w:left w:w="0" w:type="dxa"/>
          <w:bottom w:w="0" w:type="dxa"/>
          <w:right w:w="0" w:type="dxa"/>
        </w:tblCellMar>
      </w:tblPr>
      <w:tblGrid>
        <w:gridCol w:w="2900"/>
        <w:gridCol w:w="60"/>
        <w:gridCol w:w="140"/>
        <w:gridCol w:w="980"/>
        <w:gridCol w:w="75"/>
      </w:tblGrid>
      <w:tr>
        <w:trPr/>
        <w:tc>
          <w:tcPr>
            <w:tcW w:w="2900" w:type="dxa"/>
            <w:tcBorders/>
            <w:shd w:fill="CCEEFF" w:val="clear"/>
            <w:vAlign w:val="center"/>
          </w:tcPr>
          <w:p>
            <w:pPr>
              <w:pStyle w:val="TableContents"/>
              <w:bidi w:val="0"/>
              <w:spacing w:before="0" w:after="283"/>
              <w:jc w:val="left"/>
              <w:rPr/>
            </w:pPr>
            <w:r>
              <w:rPr/>
              <w:t>SEC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404.02</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Legal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5,000.00</w:t>
            </w:r>
          </w:p>
        </w:tc>
        <w:tc>
          <w:tcPr>
            <w:tcW w:w="7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pPr>
            <w:r>
              <w:rPr/>
              <w:t>Accounting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15,000.00</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Miscellaneous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4,595.98</w:t>
            </w:r>
          </w:p>
        </w:tc>
        <w:tc>
          <w:tcPr>
            <w:tcW w:w="7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25,000.00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Indemnification of Directors and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Delaware General Corporation Law (“DGCL”) permits, in general, a Delaware corporation, to indemnify any person who was or is a party to any proceeding (other than an action by, or in the right of, the corporation) by reason of the fact that he or she is or was a director or officer of the corporation, or served another business enterprise in any capacity at the request of the corporation, against liability incurred in connection with such proceeding, including the expenses (including attorneys’ fees), judgments, fines, and amounts paid in settlement actually and reasonably incurred by him in connection with such proceeding if such person acted in good faith and in a manner he or she reasonably believed to be in, or not opposed to, the best interests of the corporation and, in criminal actions or proceedings, additionally had no reasonable cause to believe that his or her conduct was unlawful. A Delaware corporation’s power to indemnify applies to actions brought by or in the right of the corporation, but only to the extent of expenses (including attorneys’ fees) actually and reasonably incurred by the person in connection with the defense or settlement of the action or suit, provided that no indemnification shall be provided in such actions in the event of any adjudication of negligence or misconduct in the performance of such person’s duties to the corporation, unless a court believes that in light of all the circumstances indemnification should apply. Section 145 of the DGCL also permits, in general, a Delaware corporation to purchase and maintain insurance on behalf of any person who is or was a director or officer of the corporation, or served another entity in any capacity at the request of the corporation, against liability incurred by such person in such capacity, whether or not the corporation would have the power to indemnify such person against such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102(b)(7) of the DGCL permits a corporation to include in its Certificate of Incorporation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that involve intentional misconduct or a knowing violation of law; (iii) under Section 174 of the DGCL; or (iv) for any transaction from which the director derived an improper personal benefit.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restated Certificate of Incorporation provides that the Company’s directors shall not be liable to the Company or its stockholders for monetary damages for breach of fiduciary duty as a director except to the extent that exculpation from liabilities is not permitted under the DGCL as in effect at the time such liability is determined. The Company’s restated Certificate of Incorporation further provides that the Company shall indemnify its directors and officers to the fullest extent permitted by the DGCL.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directors’ and officers’ insurance policy pursuant to which our directors and officers are insured against liability for actions taken in their capacities as directors and officers. We believe that these indemnification provisions and insurance are necessary to attract and retain qualified directors and officers.</w:t>
      </w:r>
    </w:p>
    <w:p>
      <w:pPr>
        <w:pStyle w:val="TextBody"/>
        <w:bidi w:val="0"/>
        <w:spacing w:before="0" w:after="0"/>
        <w:jc w:val="center"/>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indemnification agreements with each of its directors and executive officers. These indemnification agreements may require the Company, among other things, to indemnify its directors and officers for some expenses (including attorneys’ fees) judgments, fines, and settlement amounts incurred by a director or officer in any action or proceeding arising out of his or her service as one of the Company’s directors or officers, or any of its subsidiaries or any other company or enterprise to which the person provides services at our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to this registration statement are listed in the Exhibit Index to this registration statement, which Exhibit Index is hereby incorporated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undersigned registrant hereby undertakes: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 of 1933;</w:t>
      </w:r>
    </w:p>
    <w:p>
      <w:pPr>
        <w:pStyle w:val="TextBody"/>
        <w:bidi w:val="0"/>
        <w:spacing w:before="0" w:after="0"/>
        <w:ind w:left="810" w:right="0" w:firstLine="45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pStyle w:val="TextBody"/>
        <w:bidi w:val="0"/>
        <w:spacing w:before="0" w:after="0"/>
        <w:ind w:left="810" w:right="0" w:firstLine="45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To include any material information with respect to the plan of distribution not previously disclosed in the registration statement or any material change to such information in the registration statement;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paragraphs (a)(1)(i), (a)(1)(ii), and (a)(1)(iii)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for the purpose of determining liability under the Securities Act of 1933 to any purchaser:</w:t>
      </w:r>
    </w:p>
    <w:p>
      <w:pPr>
        <w:pStyle w:val="TextBody"/>
        <w:bidi w:val="0"/>
        <w:spacing w:before="0" w:after="0"/>
        <w:ind w:left="810" w:right="0" w:firstLine="45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before="0" w:after="0"/>
        <w:ind w:left="810" w:right="0" w:firstLine="45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offering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That, for the purpose of determining liability of the registrant under the Securities Act of 1933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0" w:after="0"/>
        <w:ind w:left="810" w:right="0" w:firstLine="45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preliminary prospectus or prospectus of the undersigned registrant relating to the offering required to be filed pursuant to Rule 424;</w:t>
      </w:r>
    </w:p>
    <w:p>
      <w:pPr>
        <w:pStyle w:val="TextBody"/>
        <w:bidi w:val="0"/>
        <w:spacing w:before="0" w:after="0"/>
        <w:ind w:left="810" w:right="0" w:firstLine="45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free writing prospectus relating to the offering prepared by or on behalf of the undersigned registrant or used or referred to by the undersigned registrant;</w:t>
      </w:r>
    </w:p>
    <w:p>
      <w:pPr>
        <w:pStyle w:val="TextBody"/>
        <w:bidi w:val="0"/>
        <w:spacing w:before="0" w:after="0"/>
        <w:ind w:left="810" w:right="0" w:firstLine="45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portion of any other free writing prospectus relating to the offering containing material information about the undersigned registrant or its securities provided by or on behalf of the undersigned registrant; and</w:t>
      </w:r>
    </w:p>
    <w:p>
      <w:pPr>
        <w:pStyle w:val="TextBody"/>
        <w:bidi w:val="0"/>
        <w:spacing w:before="0" w:after="0"/>
        <w:ind w:left="810" w:right="0" w:firstLine="45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other communication that is an offer in the offering made by the undersigned registrant to the purchaser.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Insofar as indemnification for liabilities arising under the Securities Act of 1933 may be permitted to directors, officers, and controlling persons of the registrant,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pStyle w:val="TextBody"/>
        <w:bidi w:val="0"/>
        <w:spacing w:before="0" w:after="0"/>
        <w:ind w:left="36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Hingham, State of Massachusetts, on the 13</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October, 2025.</w:t>
      </w:r>
    </w:p>
    <w:p>
      <w:pPr>
        <w:pStyle w:val="TextBody"/>
        <w:bidi w:val="0"/>
        <w:spacing w:before="0" w:after="0"/>
        <w:ind w:left="0" w:right="0" w:firstLine="720"/>
        <w:jc w:val="both"/>
        <w:rPr>
          <w:caps w:val="false"/>
          <w:smallCaps w:val="false"/>
        </w:rPr>
      </w:pPr>
      <w:r>
        <w:rPr>
          <w:caps w:val="false"/>
          <w:smallCaps w:val="false"/>
        </w:rPr>
        <w:t> </w:t>
      </w:r>
    </w:p>
    <w:tbl>
      <w:tblPr>
        <w:tblW w:w="4435" w:type="dxa"/>
        <w:jc w:val="left"/>
        <w:tblInd w:w="0" w:type="dxa"/>
        <w:tblLayout w:type="fixed"/>
        <w:tblCellMar>
          <w:top w:w="0" w:type="dxa"/>
          <w:left w:w="0" w:type="dxa"/>
          <w:bottom w:w="0" w:type="dxa"/>
          <w:right w:w="0" w:type="dxa"/>
        </w:tblCellMar>
      </w:tblPr>
      <w:tblGrid>
        <w:gridCol w:w="75"/>
        <w:gridCol w:w="320"/>
        <w:gridCol w:w="40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36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0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0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Harel Gadot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Harel Gadot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04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Chairman, President and Chief Executive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POWER OF ATTORNEY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MEN BY THESE PRESENTS, that each person whose signature appears below constitutes and appoints Harel Gadot and Rachel Vaknin and each of them such person’s true and lawful attorney-in-fact and agent, for such person and in such person’s name, place, and stead, in any and all capacities, to sign any and all amendments, including post-effective amendments, to this registration statement or any registration statement relating to this offering to be effective upon filing pursuant to Rule 462(b) under the Securities Act of 1933,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as fully to all intents and purposes as such person might or could do in person, hereby ratifying and confirming all that said attorney-in-fact and agent or such person’s substitute or substitutes, may lawfully do or cause to be done by virtue 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this registration statement has been signed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7710" w:type="dxa"/>
        <w:jc w:val="left"/>
        <w:tblInd w:w="0" w:type="dxa"/>
        <w:tblLayout w:type="fixed"/>
        <w:tblCellMar>
          <w:top w:w="0" w:type="dxa"/>
          <w:left w:w="0" w:type="dxa"/>
          <w:bottom w:w="28" w:type="dxa"/>
          <w:right w:w="0" w:type="dxa"/>
        </w:tblCellMar>
      </w:tblPr>
      <w:tblGrid>
        <w:gridCol w:w="2180"/>
        <w:gridCol w:w="60"/>
        <w:gridCol w:w="3965"/>
        <w:gridCol w:w="60"/>
        <w:gridCol w:w="1445"/>
      </w:tblGrid>
      <w:tr>
        <w:trPr/>
        <w:tc>
          <w:tcPr>
            <w:tcW w:w="2180" w:type="dxa"/>
            <w:tcBorders>
              <w:bottom w:val="single" w:sz="8" w:space="0" w:color="000000"/>
            </w:tcBorders>
            <w:vAlign w:val="center"/>
          </w:tcPr>
          <w:p>
            <w:pPr>
              <w:pStyle w:val="TableContents"/>
              <w:bidi w:val="0"/>
              <w:spacing w:before="0" w:after="283"/>
              <w:jc w:val="center"/>
              <w:rPr>
                <w:b/>
                <w:sz w:val="20"/>
              </w:rPr>
            </w:pPr>
            <w:r>
              <w:rPr>
                <w:b/>
                <w:sz w:val="20"/>
              </w:rPr>
              <w:t>Signature</w:t>
            </w:r>
          </w:p>
        </w:tc>
        <w:tc>
          <w:tcPr>
            <w:tcW w:w="60" w:type="dxa"/>
            <w:tcBorders/>
            <w:tcMar>
              <w:bottom w:w="0" w:type="dxa"/>
            </w:tcMar>
            <w:vAlign w:val="center"/>
          </w:tcPr>
          <w:p>
            <w:pPr>
              <w:pStyle w:val="TableContents"/>
              <w:bidi w:val="0"/>
              <w:spacing w:before="0" w:after="283"/>
              <w:jc w:val="center"/>
              <w:rPr/>
            </w:pPr>
            <w:r>
              <w:rPr/>
              <w:t> </w:t>
            </w:r>
          </w:p>
        </w:tc>
        <w:tc>
          <w:tcPr>
            <w:tcW w:w="3965" w:type="dxa"/>
            <w:tcBorders>
              <w:bottom w:val="single" w:sz="8" w:space="0" w:color="000000"/>
            </w:tcBorders>
            <w:vAlign w:val="center"/>
          </w:tcPr>
          <w:p>
            <w:pPr>
              <w:pStyle w:val="TableContents"/>
              <w:bidi w:val="0"/>
              <w:spacing w:before="0" w:after="283"/>
              <w:jc w:val="center"/>
              <w:rPr>
                <w:b/>
                <w:sz w:val="20"/>
              </w:rPr>
            </w:pPr>
            <w:r>
              <w:rPr>
                <w:b/>
                <w:sz w:val="20"/>
              </w:rPr>
              <w:t>Title</w:t>
            </w:r>
          </w:p>
        </w:tc>
        <w:tc>
          <w:tcPr>
            <w:tcW w:w="60" w:type="dxa"/>
            <w:tcBorders/>
            <w:tcMar>
              <w:bottom w:w="0" w:type="dxa"/>
            </w:tcMar>
            <w:vAlign w:val="center"/>
          </w:tcPr>
          <w:p>
            <w:pPr>
              <w:pStyle w:val="TableContents"/>
              <w:bidi w:val="0"/>
              <w:spacing w:before="0" w:after="283"/>
              <w:jc w:val="center"/>
              <w:rPr/>
            </w:pPr>
            <w:r>
              <w:rPr/>
              <w:t> </w:t>
            </w:r>
          </w:p>
        </w:tc>
        <w:tc>
          <w:tcPr>
            <w:tcW w:w="1445" w:type="dxa"/>
            <w:tcBorders>
              <w:bottom w:val="single" w:sz="8" w:space="0" w:color="000000"/>
            </w:tcBorders>
            <w:vAlign w:val="center"/>
          </w:tcPr>
          <w:p>
            <w:pPr>
              <w:pStyle w:val="TableContents"/>
              <w:bidi w:val="0"/>
              <w:spacing w:before="0" w:after="283"/>
              <w:jc w:val="center"/>
              <w:rPr>
                <w:b/>
                <w:sz w:val="20"/>
              </w:rPr>
            </w:pPr>
            <w:r>
              <w:rPr>
                <w:b/>
                <w:sz w:val="20"/>
              </w:rPr>
              <w:t>Date</w:t>
            </w:r>
          </w:p>
        </w:tc>
      </w:tr>
      <w:tr>
        <w:trPr/>
        <w:tc>
          <w:tcPr>
            <w:tcW w:w="2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left"/>
              <w:rPr/>
            </w:pPr>
            <w:r>
              <w:rPr/>
              <w:t> </w:t>
            </w:r>
          </w:p>
        </w:tc>
      </w:tr>
      <w:tr>
        <w:trPr/>
        <w:tc>
          <w:tcPr>
            <w:tcW w:w="2180" w:type="dxa"/>
            <w:tcBorders>
              <w:bottom w:val="single" w:sz="8" w:space="0" w:color="000000"/>
            </w:tcBorders>
            <w:vAlign w:val="center"/>
          </w:tcPr>
          <w:p>
            <w:pPr>
              <w:pStyle w:val="TableContents"/>
              <w:bidi w:val="0"/>
              <w:spacing w:before="0" w:after="283"/>
              <w:jc w:val="left"/>
              <w:rPr>
                <w:i/>
                <w:sz w:val="20"/>
              </w:rPr>
            </w:pPr>
            <w:r>
              <w:rPr>
                <w:i/>
                <w:sz w:val="20"/>
              </w:rPr>
              <w:t>/s/ Harel Gadot</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sz w:val="20"/>
              </w:rPr>
            </w:pPr>
            <w:r>
              <w:rPr>
                <w:sz w:val="20"/>
              </w:rPr>
              <w:t>Chairman, President and Chief Executive Officer</w:t>
            </w:r>
          </w:p>
        </w:tc>
        <w:tc>
          <w:tcPr>
            <w:tcW w:w="6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left"/>
              <w:rPr>
                <w:sz w:val="20"/>
              </w:rPr>
            </w:pPr>
            <w:r>
              <w:rPr>
                <w:sz w:val="20"/>
              </w:rPr>
              <w:t>October 13, 2025</w:t>
            </w:r>
          </w:p>
        </w:tc>
      </w:tr>
      <w:tr>
        <w:trPr/>
        <w:tc>
          <w:tcPr>
            <w:tcW w:w="2180" w:type="dxa"/>
            <w:tcBorders/>
            <w:tcMar>
              <w:bottom w:w="0" w:type="dxa"/>
            </w:tcMar>
            <w:vAlign w:val="center"/>
          </w:tcPr>
          <w:p>
            <w:pPr>
              <w:pStyle w:val="TableContents"/>
              <w:bidi w:val="0"/>
              <w:spacing w:before="0" w:after="283"/>
              <w:jc w:val="left"/>
              <w:rPr>
                <w:b/>
                <w:sz w:val="20"/>
              </w:rPr>
            </w:pPr>
            <w:r>
              <w:rPr>
                <w:b/>
                <w:sz w:val="20"/>
              </w:rPr>
              <w:t>Harel Gadot</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sz w:val="20"/>
              </w:rPr>
            </w:pPr>
            <w:r>
              <w:rPr>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left"/>
              <w:rPr/>
            </w:pPr>
            <w:r>
              <w:rPr/>
              <w:t> </w:t>
            </w:r>
          </w:p>
        </w:tc>
      </w:tr>
      <w:tr>
        <w:trPr/>
        <w:tc>
          <w:tcPr>
            <w:tcW w:w="2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left"/>
              <w:rPr/>
            </w:pPr>
            <w:r>
              <w:rPr/>
              <w:t> </w:t>
            </w:r>
          </w:p>
        </w:tc>
      </w:tr>
      <w:tr>
        <w:trPr/>
        <w:tc>
          <w:tcPr>
            <w:tcW w:w="2180" w:type="dxa"/>
            <w:tcBorders>
              <w:bottom w:val="single" w:sz="8" w:space="0" w:color="000000"/>
            </w:tcBorders>
            <w:vAlign w:val="center"/>
          </w:tcPr>
          <w:p>
            <w:pPr>
              <w:pStyle w:val="TableContents"/>
              <w:bidi w:val="0"/>
              <w:spacing w:before="0" w:after="283"/>
              <w:jc w:val="left"/>
              <w:rPr>
                <w:i/>
                <w:sz w:val="20"/>
              </w:rPr>
            </w:pPr>
            <w:r>
              <w:rPr>
                <w:i/>
                <w:sz w:val="20"/>
              </w:rPr>
              <w:t>/s/ Rachel Vaknin</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sz w:val="20"/>
              </w:rPr>
            </w:pPr>
            <w:r>
              <w:rPr>
                <w:sz w:val="20"/>
              </w:rPr>
              <w:t>Chief Financial Officer</w:t>
            </w:r>
          </w:p>
        </w:tc>
        <w:tc>
          <w:tcPr>
            <w:tcW w:w="6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left"/>
              <w:rPr>
                <w:sz w:val="20"/>
              </w:rPr>
            </w:pPr>
            <w:r>
              <w:rPr>
                <w:sz w:val="20"/>
              </w:rPr>
              <w:t>October 13, 2025</w:t>
            </w:r>
          </w:p>
        </w:tc>
      </w:tr>
      <w:tr>
        <w:trPr/>
        <w:tc>
          <w:tcPr>
            <w:tcW w:w="2180" w:type="dxa"/>
            <w:tcBorders/>
            <w:tcMar>
              <w:bottom w:w="0" w:type="dxa"/>
            </w:tcMar>
            <w:vAlign w:val="center"/>
          </w:tcPr>
          <w:p>
            <w:pPr>
              <w:pStyle w:val="TableContents"/>
              <w:bidi w:val="0"/>
              <w:spacing w:before="0" w:after="283"/>
              <w:jc w:val="left"/>
              <w:rPr>
                <w:b/>
                <w:sz w:val="20"/>
              </w:rPr>
            </w:pPr>
            <w:r>
              <w:rPr>
                <w:b/>
                <w:sz w:val="20"/>
              </w:rPr>
              <w:t>Rachel Vaknin</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sz w:val="20"/>
              </w:rPr>
            </w:pPr>
            <w:r>
              <w:rPr>
                <w:sz w:val="20"/>
              </w:rPr>
              <w:t>(Principal Financial and Accounting Officer)</w:t>
            </w:r>
          </w:p>
        </w:tc>
        <w:tc>
          <w:tcPr>
            <w:tcW w:w="6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left"/>
              <w:rPr/>
            </w:pPr>
            <w:r>
              <w:rPr/>
              <w:t> </w:t>
            </w:r>
          </w:p>
        </w:tc>
      </w:tr>
      <w:tr>
        <w:trPr/>
        <w:tc>
          <w:tcPr>
            <w:tcW w:w="2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left"/>
              <w:rPr/>
            </w:pPr>
            <w:r>
              <w:rPr/>
              <w:t> </w:t>
            </w:r>
          </w:p>
        </w:tc>
      </w:tr>
      <w:tr>
        <w:trPr/>
        <w:tc>
          <w:tcPr>
            <w:tcW w:w="2180" w:type="dxa"/>
            <w:tcBorders>
              <w:bottom w:val="single" w:sz="8" w:space="0" w:color="000000"/>
            </w:tcBorders>
            <w:vAlign w:val="center"/>
          </w:tcPr>
          <w:p>
            <w:pPr>
              <w:pStyle w:val="TableContents"/>
              <w:bidi w:val="0"/>
              <w:spacing w:before="0" w:after="283"/>
              <w:jc w:val="left"/>
              <w:rPr>
                <w:i/>
                <w:sz w:val="20"/>
              </w:rPr>
            </w:pPr>
            <w:r>
              <w:rPr>
                <w:i/>
                <w:sz w:val="20"/>
              </w:rPr>
              <w:t>/s/ Tal Wenderow</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left"/>
              <w:rPr>
                <w:sz w:val="20"/>
              </w:rPr>
            </w:pPr>
            <w:r>
              <w:rPr>
                <w:sz w:val="20"/>
              </w:rPr>
              <w:t>October 13, 2025</w:t>
            </w:r>
          </w:p>
        </w:tc>
      </w:tr>
      <w:tr>
        <w:trPr/>
        <w:tc>
          <w:tcPr>
            <w:tcW w:w="2180" w:type="dxa"/>
            <w:tcBorders/>
            <w:tcMar>
              <w:bottom w:w="0" w:type="dxa"/>
            </w:tcMar>
            <w:vAlign w:val="center"/>
          </w:tcPr>
          <w:p>
            <w:pPr>
              <w:pStyle w:val="TableContents"/>
              <w:bidi w:val="0"/>
              <w:spacing w:before="0" w:after="283"/>
              <w:jc w:val="left"/>
              <w:rPr>
                <w:b/>
                <w:sz w:val="20"/>
              </w:rPr>
            </w:pPr>
            <w:r>
              <w:rPr>
                <w:b/>
                <w:sz w:val="20"/>
              </w:rPr>
              <w:t>Tal Wenderow</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left"/>
              <w:rPr/>
            </w:pPr>
            <w:r>
              <w:rPr/>
              <w:t> </w:t>
            </w:r>
          </w:p>
        </w:tc>
      </w:tr>
      <w:tr>
        <w:trPr/>
        <w:tc>
          <w:tcPr>
            <w:tcW w:w="2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left"/>
              <w:rPr/>
            </w:pPr>
            <w:r>
              <w:rPr/>
              <w:t> </w:t>
            </w:r>
          </w:p>
        </w:tc>
      </w:tr>
      <w:tr>
        <w:trPr/>
        <w:tc>
          <w:tcPr>
            <w:tcW w:w="2180" w:type="dxa"/>
            <w:tcBorders>
              <w:bottom w:val="single" w:sz="8" w:space="0" w:color="000000"/>
            </w:tcBorders>
            <w:vAlign w:val="center"/>
          </w:tcPr>
          <w:p>
            <w:pPr>
              <w:pStyle w:val="TableContents"/>
              <w:bidi w:val="0"/>
              <w:spacing w:before="0" w:after="283"/>
              <w:jc w:val="left"/>
              <w:rPr>
                <w:i/>
                <w:sz w:val="20"/>
              </w:rPr>
            </w:pPr>
            <w:r>
              <w:rPr>
                <w:i/>
                <w:sz w:val="20"/>
              </w:rPr>
              <w:t>/s/ David J. Wilson</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left"/>
              <w:rPr>
                <w:sz w:val="20"/>
              </w:rPr>
            </w:pPr>
            <w:r>
              <w:rPr>
                <w:sz w:val="20"/>
              </w:rPr>
              <w:t>October 13, 2025</w:t>
            </w:r>
          </w:p>
        </w:tc>
      </w:tr>
      <w:tr>
        <w:trPr/>
        <w:tc>
          <w:tcPr>
            <w:tcW w:w="2180" w:type="dxa"/>
            <w:tcBorders/>
            <w:tcMar>
              <w:bottom w:w="0" w:type="dxa"/>
            </w:tcMar>
            <w:vAlign w:val="center"/>
          </w:tcPr>
          <w:p>
            <w:pPr>
              <w:pStyle w:val="TableContents"/>
              <w:bidi w:val="0"/>
              <w:spacing w:before="0" w:after="283"/>
              <w:jc w:val="left"/>
              <w:rPr>
                <w:b/>
                <w:sz w:val="20"/>
              </w:rPr>
            </w:pPr>
            <w:r>
              <w:rPr>
                <w:b/>
                <w:sz w:val="20"/>
              </w:rPr>
              <w:t>David J. Wilson</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left"/>
              <w:rPr/>
            </w:pPr>
            <w:r>
              <w:rPr/>
              <w:t> </w:t>
            </w:r>
          </w:p>
        </w:tc>
      </w:tr>
      <w:tr>
        <w:trPr/>
        <w:tc>
          <w:tcPr>
            <w:tcW w:w="2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left"/>
              <w:rPr/>
            </w:pPr>
            <w:r>
              <w:rPr/>
              <w:t> </w:t>
            </w:r>
          </w:p>
        </w:tc>
      </w:tr>
      <w:tr>
        <w:trPr/>
        <w:tc>
          <w:tcPr>
            <w:tcW w:w="2180" w:type="dxa"/>
            <w:tcBorders>
              <w:bottom w:val="single" w:sz="8" w:space="0" w:color="000000"/>
            </w:tcBorders>
            <w:vAlign w:val="center"/>
          </w:tcPr>
          <w:p>
            <w:pPr>
              <w:pStyle w:val="TableContents"/>
              <w:bidi w:val="0"/>
              <w:spacing w:before="0" w:after="283"/>
              <w:jc w:val="left"/>
              <w:rPr>
                <w:i/>
                <w:sz w:val="20"/>
              </w:rPr>
            </w:pPr>
            <w:r>
              <w:rPr>
                <w:i/>
                <w:sz w:val="20"/>
              </w:rPr>
              <w:t>/s/ Prattipati Laxminarain</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left"/>
              <w:rPr>
                <w:sz w:val="20"/>
              </w:rPr>
            </w:pPr>
            <w:r>
              <w:rPr>
                <w:sz w:val="20"/>
              </w:rPr>
              <w:t>October 13, 2025</w:t>
            </w:r>
          </w:p>
        </w:tc>
      </w:tr>
      <w:tr>
        <w:trPr/>
        <w:tc>
          <w:tcPr>
            <w:tcW w:w="2180" w:type="dxa"/>
            <w:tcBorders/>
            <w:tcMar>
              <w:bottom w:w="0" w:type="dxa"/>
            </w:tcMar>
            <w:vAlign w:val="center"/>
          </w:tcPr>
          <w:p>
            <w:pPr>
              <w:pStyle w:val="TableContents"/>
              <w:bidi w:val="0"/>
              <w:spacing w:before="0" w:after="283"/>
              <w:jc w:val="left"/>
              <w:rPr>
                <w:b/>
                <w:sz w:val="20"/>
              </w:rPr>
            </w:pPr>
            <w:r>
              <w:rPr>
                <w:b/>
                <w:sz w:val="20"/>
              </w:rPr>
              <w:t>Prattipati Laxminarain</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left"/>
              <w:rPr/>
            </w:pPr>
            <w:r>
              <w:rPr/>
              <w:t> </w:t>
            </w:r>
          </w:p>
        </w:tc>
      </w:tr>
      <w:tr>
        <w:trPr/>
        <w:tc>
          <w:tcPr>
            <w:tcW w:w="2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left"/>
              <w:rPr/>
            </w:pPr>
            <w:r>
              <w:rPr/>
              <w:t> </w:t>
            </w:r>
          </w:p>
        </w:tc>
      </w:tr>
      <w:tr>
        <w:trPr/>
        <w:tc>
          <w:tcPr>
            <w:tcW w:w="2180" w:type="dxa"/>
            <w:tcBorders>
              <w:bottom w:val="single" w:sz="8" w:space="0" w:color="000000"/>
            </w:tcBorders>
            <w:vAlign w:val="center"/>
          </w:tcPr>
          <w:p>
            <w:pPr>
              <w:pStyle w:val="TableContents"/>
              <w:bidi w:val="0"/>
              <w:spacing w:before="0" w:after="283"/>
              <w:jc w:val="left"/>
              <w:rPr>
                <w:i/>
                <w:sz w:val="20"/>
              </w:rPr>
            </w:pPr>
            <w:r>
              <w:rPr>
                <w:i/>
                <w:sz w:val="20"/>
              </w:rPr>
              <w:t>/s/ Scott Burell</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left"/>
              <w:rPr>
                <w:sz w:val="20"/>
              </w:rPr>
            </w:pPr>
            <w:r>
              <w:rPr>
                <w:sz w:val="20"/>
              </w:rPr>
              <w:t>October 13, 2025</w:t>
            </w:r>
          </w:p>
        </w:tc>
      </w:tr>
      <w:tr>
        <w:trPr/>
        <w:tc>
          <w:tcPr>
            <w:tcW w:w="2180" w:type="dxa"/>
            <w:tcBorders/>
            <w:tcMar>
              <w:bottom w:w="0" w:type="dxa"/>
            </w:tcMar>
            <w:vAlign w:val="center"/>
          </w:tcPr>
          <w:p>
            <w:pPr>
              <w:pStyle w:val="TableContents"/>
              <w:bidi w:val="0"/>
              <w:spacing w:before="0" w:after="283"/>
              <w:jc w:val="left"/>
              <w:rPr>
                <w:b/>
                <w:sz w:val="20"/>
              </w:rPr>
            </w:pPr>
            <w:r>
              <w:rPr>
                <w:b/>
                <w:sz w:val="20"/>
              </w:rPr>
              <w:t>Scott Burell</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left"/>
              <w:rPr/>
            </w:pPr>
            <w:r>
              <w:rPr/>
              <w:t> </w:t>
            </w:r>
          </w:p>
        </w:tc>
      </w:tr>
      <w:tr>
        <w:trPr/>
        <w:tc>
          <w:tcPr>
            <w:tcW w:w="2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left"/>
              <w:rPr/>
            </w:pPr>
            <w:r>
              <w:rPr/>
              <w:t> </w:t>
            </w:r>
          </w:p>
        </w:tc>
      </w:tr>
      <w:tr>
        <w:trPr/>
        <w:tc>
          <w:tcPr>
            <w:tcW w:w="2180" w:type="dxa"/>
            <w:tcBorders>
              <w:bottom w:val="single" w:sz="8" w:space="0" w:color="000000"/>
            </w:tcBorders>
            <w:vAlign w:val="center"/>
          </w:tcPr>
          <w:p>
            <w:pPr>
              <w:pStyle w:val="TableContents"/>
              <w:bidi w:val="0"/>
              <w:spacing w:before="0" w:after="283"/>
              <w:jc w:val="left"/>
              <w:rPr>
                <w:i/>
                <w:sz w:val="20"/>
              </w:rPr>
            </w:pPr>
            <w:r>
              <w:rPr>
                <w:i/>
                <w:sz w:val="20"/>
              </w:rPr>
              <w:t>/s/ Martin Madden</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left"/>
              <w:rPr>
                <w:sz w:val="20"/>
              </w:rPr>
            </w:pPr>
            <w:r>
              <w:rPr>
                <w:sz w:val="20"/>
              </w:rPr>
              <w:t>October 13, 2025</w:t>
            </w:r>
          </w:p>
        </w:tc>
      </w:tr>
      <w:tr>
        <w:trPr/>
        <w:tc>
          <w:tcPr>
            <w:tcW w:w="2180" w:type="dxa"/>
            <w:tcBorders/>
            <w:tcMar>
              <w:bottom w:w="0" w:type="dxa"/>
            </w:tcMar>
            <w:vAlign w:val="center"/>
          </w:tcPr>
          <w:p>
            <w:pPr>
              <w:pStyle w:val="TableContents"/>
              <w:bidi w:val="0"/>
              <w:spacing w:before="0" w:after="283"/>
              <w:jc w:val="left"/>
              <w:rPr>
                <w:b/>
                <w:sz w:val="20"/>
              </w:rPr>
            </w:pPr>
            <w:r>
              <w:rPr>
                <w:b/>
                <w:sz w:val="20"/>
              </w:rPr>
              <w:t>Martin Madden</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left"/>
              <w:rPr/>
            </w:pPr>
            <w:r>
              <w:rPr/>
              <w:t> </w:t>
            </w:r>
          </w:p>
        </w:tc>
      </w:tr>
      <w:tr>
        <w:trPr/>
        <w:tc>
          <w:tcPr>
            <w:tcW w:w="2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left"/>
              <w:rPr/>
            </w:pPr>
            <w:r>
              <w:rPr/>
              <w:t> </w:t>
            </w:r>
          </w:p>
        </w:tc>
      </w:tr>
      <w:tr>
        <w:trPr/>
        <w:tc>
          <w:tcPr>
            <w:tcW w:w="2180" w:type="dxa"/>
            <w:tcBorders>
              <w:bottom w:val="single" w:sz="8" w:space="0" w:color="000000"/>
            </w:tcBorders>
            <w:vAlign w:val="center"/>
          </w:tcPr>
          <w:p>
            <w:pPr>
              <w:pStyle w:val="TableContents"/>
              <w:bidi w:val="0"/>
              <w:spacing w:before="0" w:after="283"/>
              <w:jc w:val="left"/>
              <w:rPr>
                <w:i/>
                <w:sz w:val="20"/>
              </w:rPr>
            </w:pPr>
            <w:r>
              <w:rPr>
                <w:i/>
                <w:sz w:val="20"/>
              </w:rPr>
              <w:t>/s/ Aileen Stockburger</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left"/>
              <w:rPr>
                <w:sz w:val="20"/>
              </w:rPr>
            </w:pPr>
            <w:r>
              <w:rPr>
                <w:sz w:val="20"/>
              </w:rPr>
              <w:t>October 13, 2025</w:t>
            </w:r>
          </w:p>
        </w:tc>
      </w:tr>
      <w:tr>
        <w:trPr/>
        <w:tc>
          <w:tcPr>
            <w:tcW w:w="2180" w:type="dxa"/>
            <w:tcBorders/>
            <w:tcMar>
              <w:bottom w:w="0" w:type="dxa"/>
            </w:tcMar>
            <w:vAlign w:val="center"/>
          </w:tcPr>
          <w:p>
            <w:pPr>
              <w:pStyle w:val="TableContents"/>
              <w:bidi w:val="0"/>
              <w:spacing w:before="0" w:after="283"/>
              <w:jc w:val="left"/>
              <w:rPr>
                <w:b/>
                <w:sz w:val="20"/>
              </w:rPr>
            </w:pPr>
            <w:r>
              <w:rPr>
                <w:b/>
                <w:sz w:val="20"/>
              </w:rPr>
              <w:t>Aileen Stockburger</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65"/>
        <w:gridCol w:w="60"/>
        <w:gridCol w:w="9480"/>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36">
              <w:r>
                <w:rPr>
                  <w:rStyle w:val="InternetLink"/>
                  <w:rFonts w:ascii="Times New Roman;Times;Serif" w:hAnsi="Times New Roman;Times;Serif"/>
                  <w:b w:val="false"/>
                  <w:i w:val="false"/>
                  <w:caps w:val="false"/>
                  <w:smallCaps w:val="false"/>
                  <w:sz w:val="20"/>
                </w:rPr>
                <w:t>Agreement and Plan of Merger and Reorganization, dated as of August 15, 2016, by and among StemCells, Inc., C&amp;RD Israel Ltd. and Microbot Medical Ltd. (incorporated by reference to the Company’s Current Report on Form 8-K filed on August 15, 2016).</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37">
              <w:r>
                <w:rPr>
                  <w:rStyle w:val="InternetLink"/>
                  <w:rFonts w:ascii="Times New Roman;Times;Serif" w:hAnsi="Times New Roman;Times;Serif"/>
                  <w:b w:val="false"/>
                  <w:i w:val="false"/>
                  <w:caps w:val="false"/>
                  <w:smallCaps w:val="false"/>
                  <w:sz w:val="20"/>
                </w:rPr>
                <w:t>Restated Certificate of Incorporation of the Company (incorporated by reference to the Company’s Annual Report on Form 10-K for the fiscal year ended December 31, 2006 and filed on March 15, 2007).</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38">
              <w:r>
                <w:rPr>
                  <w:rStyle w:val="InternetLink"/>
                  <w:rFonts w:ascii="Times New Roman;Times;Serif" w:hAnsi="Times New Roman;Times;Serif"/>
                  <w:b w:val="false"/>
                  <w:i w:val="false"/>
                  <w:caps w:val="false"/>
                  <w:smallCaps w:val="false"/>
                  <w:sz w:val="20"/>
                </w:rPr>
                <w:t>Certificate of Amendment to the Restated Certificate of Incorporation of the Company (incorporated by reference to the Company’s Current Report on Form 8-K filed on November 29, 2016).</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39">
              <w:r>
                <w:rPr>
                  <w:rStyle w:val="InternetLink"/>
                  <w:rFonts w:ascii="Times New Roman;Times;Serif" w:hAnsi="Times New Roman;Times;Serif"/>
                  <w:b w:val="false"/>
                  <w:i w:val="false"/>
                  <w:caps w:val="false"/>
                  <w:smallCaps w:val="false"/>
                  <w:sz w:val="20"/>
                </w:rPr>
                <w:t>Certificate of Amendment to the Restated Certificate of Incorporation (incorporated by reference to the Company’s Current Report on Form 8-K filed on September 4, 2018).</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40">
              <w:r>
                <w:rPr>
                  <w:rStyle w:val="InternetLink"/>
                  <w:rFonts w:ascii="Times New Roman;Times;Serif" w:hAnsi="Times New Roman;Times;Serif"/>
                  <w:b w:val="false"/>
                  <w:i w:val="false"/>
                  <w:caps w:val="false"/>
                  <w:smallCaps w:val="false"/>
                  <w:sz w:val="20"/>
                </w:rPr>
                <w:t>Amended and Restated By-Laws of the Company (incorporated by reference to the Company’s Current Report on Form 8-K filed on May 3, 2016).</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41">
              <w:r>
                <w:rPr>
                  <w:rStyle w:val="InternetLink"/>
                  <w:rFonts w:ascii="Times New Roman;Times;Serif" w:hAnsi="Times New Roman;Times;Serif"/>
                  <w:b w:val="false"/>
                  <w:i w:val="false"/>
                  <w:caps w:val="false"/>
                  <w:smallCaps w:val="false"/>
                  <w:sz w:val="20"/>
                </w:rPr>
                <w:t>Certificate of Elimination (incorporated by reference to the Company’s Current Report on Form 8-K filed on December 12, 2018).</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42">
              <w:r>
                <w:rPr>
                  <w:rStyle w:val="InternetLink"/>
                  <w:rFonts w:ascii="Times New Roman;Times;Serif" w:hAnsi="Times New Roman;Times;Serif"/>
                  <w:b w:val="false"/>
                  <w:i w:val="false"/>
                  <w:caps w:val="false"/>
                  <w:smallCaps w:val="false"/>
                  <w:sz w:val="20"/>
                </w:rPr>
                <w:t>Certificate of Amendment to the Restated Certificate of Incorporation (incorporated by reference to the Company’s Current Report on Form 8-K filed on September 11, 2019).</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43">
              <w:r>
                <w:rPr>
                  <w:rStyle w:val="InternetLink"/>
                  <w:rFonts w:ascii="Times New Roman;Times;Serif" w:hAnsi="Times New Roman;Times;Serif"/>
                  <w:b w:val="false"/>
                  <w:i w:val="false"/>
                  <w:caps w:val="false"/>
                  <w:smallCaps w:val="false"/>
                  <w:sz w:val="20"/>
                </w:rPr>
                <w:t>Amendment to Section 5 of the Amended and Restated By-Laws of the Company (incorporated by reference to the Company’s Current Report on Form 8-K filed on May 3, 2021).</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44">
              <w:r>
                <w:rPr>
                  <w:rStyle w:val="InternetLink"/>
                  <w:rFonts w:ascii="Times New Roman;Times;Serif" w:hAnsi="Times New Roman;Times;Serif"/>
                  <w:b w:val="false"/>
                  <w:i w:val="false"/>
                  <w:caps w:val="false"/>
                  <w:smallCaps w:val="false"/>
                  <w:sz w:val="20"/>
                </w:rPr>
                <w:t>Amendment to Section 2.5 of the Amended and Restated By-Laws of the Company (incorporated by reference to the Company’s Current Report on Form 8-K filed on April 15, 2025).</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45">
              <w:r>
                <w:rPr>
                  <w:rStyle w:val="InternetLink"/>
                  <w:rFonts w:ascii="Times New Roman;Times;Serif" w:hAnsi="Times New Roman;Times;Serif"/>
                  <w:b w:val="false"/>
                  <w:i w:val="false"/>
                  <w:caps w:val="false"/>
                  <w:smallCaps w:val="false"/>
                  <w:sz w:val="20"/>
                </w:rPr>
                <w:t>Certificate of Amendment to Certificate of Incorporation (incorporated by reference to the Company’s Current Report on Form 8-K filed on June 11, 2025).</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46">
              <w:r>
                <w:rPr>
                  <w:rStyle w:val="InternetLink"/>
                  <w:rFonts w:ascii="Times New Roman;Times;Serif" w:hAnsi="Times New Roman;Times;Serif"/>
                  <w:b w:val="false"/>
                  <w:i w:val="false"/>
                  <w:caps w:val="false"/>
                  <w:smallCaps w:val="false"/>
                  <w:sz w:val="20"/>
                </w:rPr>
                <w:t>Description of the Company’s Securities (incorporated by reference to the Registrant’s Annual Report on Form 10-K for the fiscal year ended December 31, 2019).</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47">
              <w:r>
                <w:rPr>
                  <w:rStyle w:val="InternetLink"/>
                  <w:rFonts w:ascii="Times New Roman;Times;Serif" w:hAnsi="Times New Roman;Times;Serif"/>
                  <w:b w:val="false"/>
                  <w:i w:val="false"/>
                  <w:caps w:val="false"/>
                  <w:smallCaps w:val="false"/>
                  <w:sz w:val="20"/>
                </w:rPr>
                <w:t>Form of Wainwright Warrant (incorporated by reference to the Registrant’s Current Report on Form 8-K filed on October 25, 2022).</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48">
              <w:r>
                <w:rPr>
                  <w:rStyle w:val="InternetLink"/>
                  <w:rFonts w:ascii="Times New Roman;Times;Serif" w:hAnsi="Times New Roman;Times;Serif"/>
                  <w:b w:val="false"/>
                  <w:i w:val="false"/>
                  <w:caps w:val="false"/>
                  <w:smallCaps w:val="false"/>
                  <w:sz w:val="20"/>
                </w:rPr>
                <w:t>Form of Wainwright Warrant (incorporated by reference to the Registrant’s Current Report on Form 8-K filed on May 23, 2023).</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49">
              <w:r>
                <w:rPr>
                  <w:rStyle w:val="InternetLink"/>
                  <w:rFonts w:ascii="Times New Roman;Times;Serif" w:hAnsi="Times New Roman;Times;Serif"/>
                  <w:b w:val="false"/>
                  <w:i w:val="false"/>
                  <w:caps w:val="false"/>
                  <w:smallCaps w:val="false"/>
                  <w:sz w:val="20"/>
                </w:rPr>
                <w:t>Form of Wainwright Warrant (incorporated by reference to the Registrant’s Current Report on Form 8-K filed on May 24, 2023).</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50">
              <w:r>
                <w:rPr>
                  <w:rStyle w:val="InternetLink"/>
                  <w:rFonts w:ascii="Times New Roman;Times;Serif" w:hAnsi="Times New Roman;Times;Serif"/>
                  <w:b w:val="false"/>
                  <w:i w:val="false"/>
                  <w:caps w:val="false"/>
                  <w:smallCaps w:val="false"/>
                  <w:sz w:val="20"/>
                </w:rPr>
                <w:t>Form of Warrant Amendment Agreement (incorporated by reference to the Registrant’s Current Report on Form 8-K filed on May 24, 2023).</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51">
              <w:r>
                <w:rPr>
                  <w:rStyle w:val="InternetLink"/>
                  <w:rFonts w:ascii="Times New Roman;Times;Serif" w:hAnsi="Times New Roman;Times;Serif"/>
                  <w:b w:val="false"/>
                  <w:i w:val="false"/>
                  <w:caps w:val="false"/>
                  <w:smallCaps w:val="false"/>
                  <w:sz w:val="20"/>
                </w:rPr>
                <w:t>Form of Wainwright Warrant (incorporated by reference to the Registrant’s Current Report on Form 8-K filed on June 6, 2023).</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52">
              <w:r>
                <w:rPr>
                  <w:rStyle w:val="InternetLink"/>
                  <w:rFonts w:ascii="Times New Roman;Times;Serif" w:hAnsi="Times New Roman;Times;Serif"/>
                  <w:b w:val="false"/>
                  <w:i w:val="false"/>
                  <w:caps w:val="false"/>
                  <w:smallCaps w:val="false"/>
                  <w:sz w:val="20"/>
                </w:rPr>
                <w:t>Form of Wainwright Warrant (incorporated by reference to the Registrant’s Current Report on Form 8-K filed on June 28, 2023).</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53">
              <w:r>
                <w:rPr>
                  <w:rStyle w:val="InternetLink"/>
                  <w:rFonts w:ascii="Times New Roman;Times;Serif" w:hAnsi="Times New Roman;Times;Serif"/>
                  <w:b w:val="false"/>
                  <w:i w:val="false"/>
                  <w:caps w:val="false"/>
                  <w:smallCaps w:val="false"/>
                  <w:sz w:val="20"/>
                </w:rPr>
                <w:t>Form of Placement Agent Investment Option (incorporated by reference to the Registrant’s Current Report on Form 8-K filed on January 2, 2024).</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54">
              <w:r>
                <w:rPr>
                  <w:rStyle w:val="InternetLink"/>
                  <w:rFonts w:ascii="Times New Roman;Times;Serif" w:hAnsi="Times New Roman;Times;Serif"/>
                  <w:b w:val="false"/>
                  <w:i w:val="false"/>
                  <w:caps w:val="false"/>
                  <w:smallCaps w:val="false"/>
                  <w:sz w:val="20"/>
                </w:rPr>
                <w:t>Form of Placement Agent Investment Option (incorporated by reference to the Registrant’s Current Report on Form 8-K filed on June 4, 2024).</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55">
              <w:r>
                <w:rPr>
                  <w:rStyle w:val="InternetLink"/>
                  <w:rFonts w:ascii="Times New Roman;Times;Serif" w:hAnsi="Times New Roman;Times;Serif"/>
                  <w:b w:val="false"/>
                  <w:i w:val="false"/>
                  <w:caps w:val="false"/>
                  <w:smallCaps w:val="false"/>
                  <w:sz w:val="20"/>
                </w:rPr>
                <w:t>Form of Placement Agent Investment Option (incorporated by reference to the Registrant’s Current Report on Form 8-K filed on January 7, 2025).</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56">
              <w:r>
                <w:rPr>
                  <w:rStyle w:val="InternetLink"/>
                  <w:rFonts w:ascii="Times New Roman;Times;Serif" w:hAnsi="Times New Roman;Times;Serif"/>
                  <w:b w:val="false"/>
                  <w:i w:val="false"/>
                  <w:caps w:val="false"/>
                  <w:smallCaps w:val="false"/>
                  <w:sz w:val="20"/>
                </w:rPr>
                <w:t>Form of Placement Agent Investment Option (incorporated by reference to the Registrant’s Current Report on Form 8-K filed on January 10, 2025).</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57">
              <w:r>
                <w:rPr>
                  <w:rStyle w:val="InternetLink"/>
                  <w:rFonts w:ascii="Times New Roman;Times;Serif" w:hAnsi="Times New Roman;Times;Serif"/>
                  <w:b w:val="false"/>
                  <w:i w:val="false"/>
                  <w:caps w:val="false"/>
                  <w:smallCaps w:val="false"/>
                  <w:sz w:val="20"/>
                </w:rPr>
                <w:t>Form of Series J Preferred Investment Option (incorporated by reference to the Registrant’s Current Report on Form 8-K filed on September 16, 2025).</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58">
              <w:r>
                <w:rPr>
                  <w:rStyle w:val="InternetLink"/>
                  <w:rFonts w:ascii="Times New Roman;Times;Serif" w:hAnsi="Times New Roman;Times;Serif"/>
                  <w:b w:val="false"/>
                  <w:i w:val="false"/>
                  <w:caps w:val="false"/>
                  <w:smallCaps w:val="false"/>
                  <w:sz w:val="20"/>
                </w:rPr>
                <w:t>Form of Placement Agent Investment Option (incorporated by reference to the Registrant’s Current Report on Form 8-K filed on February 11, 2025).</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59">
              <w:r>
                <w:rPr>
                  <w:rStyle w:val="InternetLink"/>
                  <w:rFonts w:ascii="Times New Roman;Times;Serif" w:hAnsi="Times New Roman;Times;Serif"/>
                  <w:b w:val="false"/>
                  <w:i w:val="false"/>
                  <w:caps w:val="false"/>
                  <w:smallCaps w:val="false"/>
                  <w:sz w:val="20"/>
                </w:rPr>
                <w:t>Form of Placement Agent Investment Option (incorporated by reference to the Registrant’s Current Report on Form 8-K filed on September 16, 2025).</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shd w:fill="FFFFFF" w:val="clear"/>
                </w:rPr>
                <w:t>Opinion of Ruskin Moscou Faltischek, P.C.</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Consent of Ruskin Moscou Faltischek, P.C. (contained in Exhibit 5.1).</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w:anchor="ex23-2.htm">
              <w:r>
                <w:rPr>
                  <w:rStyle w:val="InternetLink"/>
                  <w:rFonts w:ascii="Times New Roman;Times;Serif" w:hAnsi="Times New Roman;Times;Serif"/>
                  <w:b w:val="false"/>
                  <w:i w:val="false"/>
                  <w:caps w:val="false"/>
                  <w:smallCaps w:val="false"/>
                  <w:sz w:val="20"/>
                  <w:shd w:fill="FFFFFF" w:val="clear"/>
                </w:rPr>
                <w:t>Consent of Brightman Almagor Zohar &amp; Co., a firm in the Deloitte Global Network.</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w:anchor="a_014">
              <w:r>
                <w:rPr>
                  <w:rStyle w:val="InternetLink"/>
                  <w:rFonts w:ascii="Times New Roman;Times;Serif" w:hAnsi="Times New Roman;Times;Serif"/>
                  <w:b w:val="false"/>
                  <w:i w:val="false"/>
                  <w:caps w:val="false"/>
                  <w:smallCaps w:val="false"/>
                  <w:sz w:val="20"/>
                </w:rPr>
                <w:t>Power of Attorney (included on the signature page hereto).</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w:anchor="ex107.htm">
              <w:r>
                <w:rPr>
                  <w:rStyle w:val="InternetLink"/>
                  <w:rFonts w:ascii="Times New Roman;Times;Serif" w:hAnsi="Times New Roman;Times;Serif"/>
                  <w:b w:val="false"/>
                  <w:i w:val="false"/>
                  <w:caps w:val="false"/>
                  <w:smallCaps w:val="false"/>
                  <w:sz w:val="20"/>
                </w:rPr>
                <w:t>Filing Fee Table</w:t>
              </w:r>
            </w:hyperlink>
          </w:p>
        </w:tc>
      </w:tr>
    </w:tbl>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II-5</w:t>
            </w:r>
          </w:p>
        </w:tc>
      </w:tr>
    </w:tbl>
    <w:p>
      <w:pPr>
        <w:pStyle w:val="TextBody"/>
        <w:bidi w:val="0"/>
        <w:spacing w:before="0" w:after="0"/>
        <w:jc w:val="center"/>
        <w:rPr>
          <w:caps w:val="false"/>
          <w:smallCaps w:val="false"/>
        </w:rPr>
      </w:pPr>
      <w:r>
        <w:rPr>
          <w:caps w:val="false"/>
          <w:smallCaps w:val="false"/>
        </w:rPr>
        <w:t> </w:t>
      </w:r>
    </w:p>
    <w:p>
      <w:pPr>
        <w:pStyle w:val="TextBody"/>
        <w:bidi w:val="0"/>
        <w:jc w:val="left"/>
        <w:rPr/>
      </w:pPr>
      <w:bookmarkStart w:id="16" w:name="ex5-1.htm"/>
      <w:bookmarkStart w:id="17" w:name="ksex51"/>
      <w:bookmarkEnd w:id="16"/>
      <w:bookmarkEnd w:id="17"/>
      <w:r>
        <w:rPr/>
        <w:t> </w:t>
      </w:r>
      <w:r>
        <w:br w:type="page"/>
      </w:r>
    </w:p>
    <w:p>
      <w:pPr>
        <w:pStyle w:val="TextBody"/>
        <w:bidi w:val="0"/>
        <w:jc w:val="right"/>
        <w:rPr>
          <w:b/>
        </w:rPr>
      </w:pPr>
      <w:r>
        <w:rPr>
          <w:b/>
        </w:rPr>
        <w:t>Exhibit 5.1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caps w:val="false"/>
          <w:smallCaps w:val="false"/>
        </w:rPr>
        <w:drawing>
          <wp:inline distT="0" distB="0" distL="0" distR="0">
            <wp:extent cx="3333750" cy="714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60"/>
                    <a:stretch>
                      <a:fillRect/>
                    </a:stretch>
                  </pic:blipFill>
                  <pic:spPr bwMode="auto">
                    <a:xfrm>
                      <a:off x="0" y="0"/>
                      <a:ext cx="3333750" cy="7143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tbl>
      <w:tblPr>
        <w:tblW w:w="1775" w:type="dxa"/>
        <w:jc w:val="left"/>
        <w:tblInd w:w="0" w:type="dxa"/>
        <w:tblLayout w:type="fixed"/>
        <w:tblCellMar>
          <w:top w:w="0" w:type="dxa"/>
          <w:left w:w="0" w:type="dxa"/>
          <w:bottom w:w="0" w:type="dxa"/>
          <w:right w:w="0" w:type="dxa"/>
        </w:tblCellMar>
      </w:tblPr>
      <w:tblGrid>
        <w:gridCol w:w="75"/>
        <w:gridCol w:w="1700"/>
      </w:tblGrid>
      <w:tr>
        <w:trPr/>
        <w:tc>
          <w:tcPr>
            <w:tcW w:w="75"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October 13,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Medical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 Derby St. Bld. 27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Hingham, MA 02043</w:t>
      </w:r>
    </w:p>
    <w:p>
      <w:pPr>
        <w:pStyle w:val="TextBody"/>
        <w:bidi w:val="0"/>
        <w:spacing w:before="0" w:after="0"/>
        <w:ind w:left="0" w:right="0" w:hanging="0"/>
        <w:jc w:val="left"/>
        <w:rPr>
          <w:caps w:val="false"/>
          <w:smallCaps w:val="false"/>
        </w:rPr>
      </w:pPr>
      <w:r>
        <w:rPr>
          <w:caps w:val="false"/>
          <w:smallCaps w:val="false"/>
        </w:rPr>
        <w:t> </w:t>
      </w:r>
    </w:p>
    <w:tbl>
      <w:tblPr>
        <w:tblW w:w="3813" w:type="dxa"/>
        <w:jc w:val="left"/>
        <w:tblInd w:w="0" w:type="dxa"/>
        <w:tblLayout w:type="fixed"/>
        <w:tblCellMar>
          <w:top w:w="0" w:type="dxa"/>
          <w:left w:w="0" w:type="dxa"/>
          <w:bottom w:w="0" w:type="dxa"/>
          <w:right w:w="0" w:type="dxa"/>
        </w:tblCellMar>
      </w:tblPr>
      <w:tblGrid>
        <w:gridCol w:w="38"/>
        <w:gridCol w:w="350"/>
        <w:gridCol w:w="342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Re:</w:t>
            </w:r>
          </w:p>
        </w:tc>
        <w:tc>
          <w:tcPr>
            <w:tcW w:w="3425" w:type="dxa"/>
            <w:tcBorders/>
            <w:vAlign w:val="center"/>
          </w:tcPr>
          <w:p>
            <w:pPr>
              <w:pStyle w:val="TableContents"/>
              <w:bidi w:val="0"/>
              <w:spacing w:before="0" w:after="283"/>
              <w:jc w:val="both"/>
              <w:rPr/>
            </w:pPr>
            <w:r>
              <w:rPr/>
              <w:t>Registration Statement on Form S-3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for Microbot Medical Inc. (the “Company”) in connection with the preparation and filing of that certain Registration Statement on Form S-3 (the “Registration Statement”) filed on the date hereof with the Securities and Exchange Commission (the “SEC”) under the Securities Act of 1933, as amended, with respect to the registration of the resale of an aggregate of up to 900,153 shares (the “Shares”) of the Company’s common stock, $0.01 par value per share, issuable upon the exercise in full of outstanding investment options of the Company (the “Options”).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are being registered on behalf of certain persons or entities identified in the Registration Statement. The offering of the Shares will be as set forth in the prospectus contained in the Registration Statement, and as supplemented by one or more supplements to the prospectus (the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counsel to the Company, we have examined the originals or copies of such documents, corporate records and other instruments and undertaken such further inquiry as we have deemed necessary or appropriate for purposes of this opinion, including, but not limited to, the Registration Statement, corporate resolutions authorizing the issuance of the Shares and the Certificate of Incorporation and Bylaws of the Company, including amendments thereto. In such examination, we have assumed the following: (a) the authenticity of original documents and the genuineness of all signatures; (b) the legal capacity of all natural persons, the accuracy and completeness of all documents submitted to us; (c) the conformity to the originals of all documents submitted to us as copies; (d) the genuineness of all signatures contained in the records, documents, instruments and certificates we have reviewed; and (e) the truth, accuracy and completeness of the information, representations and warranties contained in the records, documents, instruments and certificates we have reviewed. This opinion letter is given, and all statements herein are made, in the context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Based on and subject to the foregoing, we are of the opinion that the Shares, when issued upon exercise of the Options in accordance with the terms thereof, are or </w:t>
      </w:r>
      <w:r>
        <w:rPr>
          <w:rFonts w:ascii="Times New Roman;Times;Serif" w:hAnsi="Times New Roman;Times;Serif"/>
          <w:b w:val="false"/>
          <w:i w:val="false"/>
          <w:caps w:val="false"/>
          <w:smallCaps w:val="false"/>
          <w:sz w:val="20"/>
        </w:rPr>
        <w:t>will be duly and validly authorized</w:t>
      </w:r>
      <w:r>
        <w:rPr>
          <w:rFonts w:ascii="Times New Roman;Times;Serif" w:hAnsi="Times New Roman;Times;Serif"/>
          <w:b w:val="false"/>
          <w:i w:val="false"/>
          <w:caps w:val="false"/>
          <w:smallCaps w:val="false"/>
          <w:sz w:val="20"/>
          <w:shd w:fill="FFFFFF" w:val="clear"/>
        </w:rPr>
        <w:t>, validly issued, fully paid and non-assessable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120"/>
        <w:ind w:left="0" w:right="0" w:firstLine="72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13, 2025</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herein is as of the date hereof. We assume no obligation to advise you of changes that may hereafter be brought to our attention. We are members of the Bar of the State of New York. We do not express any opinion concerning the laws of any jurisdiction other than (i) the State of New York, (ii) the Federal laws of the United States and (iii) the Delaware General Corporation Law. Our opinion is based on statutory laws and judicial decisions that are in effect on the date hereof, and we do not opine with respect to any law, regulation, rule or governmental policy that may be enacted or adopted after the date hereof, nor do we assume any responsibility to advise you of future changes in our opinion. We do not express an opinion on any matters other than those expressly set forth in this letter.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opinion is expressed herein with respect to the qualification of the Shares under the securities or blue sky laws of any state or any foreign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use and filing of this opinion as an exhibit to the Registration Statement as filed with the Securities and Exchange Commission and to the reference to our firm under the heading “Legal Matters” in the Prospectus and the Registration Statement. In giving this consent, we do not admit that we are within the category of persons whose consent is required under Section 7 of the Act or the rules and regulations of the Securities and Exchange Commission promulgated thereunder.</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3320" w:type="dxa"/>
        <w:jc w:val="left"/>
        <w:tblInd w:w="0" w:type="dxa"/>
        <w:tblLayout w:type="fixed"/>
        <w:tblCellMar>
          <w:top w:w="0" w:type="dxa"/>
          <w:left w:w="0" w:type="dxa"/>
          <w:bottom w:w="0" w:type="dxa"/>
          <w:right w:w="0" w:type="dxa"/>
        </w:tblCellMar>
      </w:tblPr>
      <w:tblGrid>
        <w:gridCol w:w="75"/>
        <w:gridCol w:w="3245"/>
      </w:tblGrid>
      <w:tr>
        <w:trPr/>
        <w:tc>
          <w:tcPr>
            <w:tcW w:w="75" w:type="dxa"/>
            <w:tcBorders/>
            <w:vAlign w:val="center"/>
          </w:tcPr>
          <w:p>
            <w:pPr>
              <w:pStyle w:val="TableContents"/>
              <w:bidi w:val="0"/>
              <w:spacing w:before="0" w:after="283"/>
              <w:jc w:val="both"/>
              <w:rPr/>
            </w:pPr>
            <w:r>
              <w:rPr/>
              <w:t> </w:t>
            </w:r>
          </w:p>
        </w:tc>
        <w:tc>
          <w:tcPr>
            <w:tcW w:w="3245" w:type="dxa"/>
            <w:tcBorders/>
            <w:vAlign w:val="center"/>
          </w:tcPr>
          <w:p>
            <w:pPr>
              <w:pStyle w:val="TableContents"/>
              <w:bidi w:val="0"/>
              <w:spacing w:before="0" w:after="283"/>
              <w:jc w:val="both"/>
              <w:rPr>
                <w:sz w:val="20"/>
              </w:rPr>
            </w:pPr>
            <w:r>
              <w:rPr>
                <w:sz w:val="20"/>
              </w:rPr>
              <w:t>Very truly yours,</w:t>
            </w:r>
          </w:p>
        </w:tc>
      </w:tr>
      <w:tr>
        <w:trPr/>
        <w:tc>
          <w:tcPr>
            <w:tcW w:w="75" w:type="dxa"/>
            <w:tcBorders/>
            <w:vAlign w:val="center"/>
          </w:tcPr>
          <w:p>
            <w:pPr>
              <w:pStyle w:val="TableContents"/>
              <w:bidi w:val="0"/>
              <w:spacing w:before="0" w:after="283"/>
              <w:jc w:val="both"/>
              <w:rPr/>
            </w:pPr>
            <w:r>
              <w:rPr/>
              <w:t> </w:t>
            </w:r>
          </w:p>
        </w:tc>
        <w:tc>
          <w:tcPr>
            <w:tcW w:w="324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283"/>
              <w:jc w:val="left"/>
              <w:rPr>
                <w:sz w:val="20"/>
              </w:rPr>
            </w:pPr>
            <w:r>
              <w:rPr>
                <w:sz w:val="20"/>
              </w:rPr>
              <w:t>/s/ Ruskin Moscou Faltischek PC</w:t>
            </w:r>
          </w:p>
        </w:tc>
      </w:tr>
      <w:tr>
        <w:trPr/>
        <w:tc>
          <w:tcPr>
            <w:tcW w:w="75"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283"/>
              <w:jc w:val="left"/>
              <w:rPr>
                <w:sz w:val="20"/>
              </w:rPr>
            </w:pPr>
            <w:r>
              <w:rPr>
                <w:sz w:val="20"/>
              </w:rPr>
              <w:t>RUSKIN MOSCOU FALTISCHEK, P.C.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12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jc w:val="center"/>
        <w:rPr>
          <w:caps w:val="false"/>
          <w:smallCaps w:val="false"/>
        </w:rPr>
      </w:pPr>
      <w:bookmarkStart w:id="18" w:name="ex23-2.htm"/>
      <w:bookmarkStart w:id="19" w:name="ksex232"/>
      <w:bookmarkEnd w:id="18"/>
      <w:bookmarkEnd w:id="1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S-3 of our report dated March 25, 2025, relating to the financial statements of Microbot Medical Inc. appearing in the Annual Report on Form 10-K of Microbot Medical Inc. for the year ended December 31, 2024. We also consent to the reference to us under the heading “Experts” in such Registration Statement.</w:t>
      </w:r>
    </w:p>
    <w:p>
      <w:pPr>
        <w:pStyle w:val="TextBody"/>
        <w:bidi w:val="0"/>
        <w:spacing w:before="0" w:after="0"/>
        <w:ind w:left="0" w:right="0" w:hanging="0"/>
        <w:jc w:val="both"/>
        <w:rPr>
          <w:caps w:val="false"/>
          <w:smallCaps w:val="false"/>
        </w:rPr>
      </w:pPr>
      <w:r>
        <w:rPr>
          <w:caps w:val="false"/>
          <w:smallCaps w:val="false"/>
        </w:rPr>
        <w:t> </w:t>
      </w:r>
    </w:p>
    <w:tbl>
      <w:tblPr>
        <w:tblW w:w="2990" w:type="dxa"/>
        <w:jc w:val="left"/>
        <w:tblInd w:w="0" w:type="dxa"/>
        <w:tblLayout w:type="fixed"/>
        <w:tblCellMar>
          <w:top w:w="0" w:type="dxa"/>
          <w:left w:w="0" w:type="dxa"/>
          <w:bottom w:w="0" w:type="dxa"/>
          <w:right w:w="0" w:type="dxa"/>
        </w:tblCellMar>
      </w:tblPr>
      <w:tblGrid>
        <w:gridCol w:w="2930"/>
        <w:gridCol w:w="60"/>
      </w:tblGrid>
      <w:tr>
        <w:trPr/>
        <w:tc>
          <w:tcPr>
            <w:tcW w:w="2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Brightman Almagor Zohar &amp; Co.</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Brightman Almagor Zohar &amp; 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Certified Public Accountants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Firm in the Deloitte Global Network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Aviv, Israel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13, 2025</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bookmarkStart w:id="20" w:name="ex107.htm"/>
      <w:bookmarkStart w:id="21" w:name="ksex107"/>
      <w:bookmarkEnd w:id="20"/>
      <w:bookmarkEnd w:id="21"/>
      <w:r>
        <w:rPr/>
        <w:t> </w:t>
      </w:r>
      <w:r>
        <w:br w:type="page"/>
      </w:r>
    </w:p>
    <w:p>
      <w:pPr>
        <w:pStyle w:val="TextBody"/>
        <w:bidi w:val="0"/>
        <w:spacing w:before="0" w:after="0"/>
        <w:jc w:val="right"/>
        <w:rPr>
          <w:rFonts w:ascii="Times New Roman;Times;Serif" w:hAnsi="Times New Roman;Times;Serif"/>
          <w:b/>
          <w:i w:val="false"/>
          <w:caps w:val="false"/>
          <w:smallCaps w:val="false"/>
          <w:sz w:val="20"/>
        </w:rPr>
      </w:pPr>
      <w:bookmarkStart w:id="22" w:name="xdx_909_effd--FeeExhibitTp_dxL_c20251014"/>
      <w:bookmarkEnd w:id="22"/>
      <w:r>
        <w:rPr>
          <w:rFonts w:ascii="Times New Roman;Times;Serif" w:hAnsi="Times New Roman;Times;Serif"/>
          <w:b/>
          <w:i w:val="false"/>
          <w:caps w:val="false"/>
          <w:smallCaps w:val="false"/>
          <w:sz w:val="20"/>
        </w:rPr>
        <w:t>Exhibit 107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Filing Fee Table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3" w:name="xdx_905_effd--FormTp_c20251014__20251014"/>
      <w:bookmarkStart w:id="24" w:name="xdx_902_effd--SubmissnTp_c20251014__2025"/>
      <w:bookmarkEnd w:id="23"/>
      <w:bookmarkEnd w:id="24"/>
      <w:r>
        <w:rPr>
          <w:rFonts w:ascii="Times New Roman;Times;Serif" w:hAnsi="Times New Roman;Times;Serif"/>
          <w:b/>
          <w:i w:val="false"/>
          <w:caps w:val="false"/>
          <w:smallCaps w:val="false"/>
          <w:sz w:val="20"/>
        </w:rPr>
        <w:t>S-3</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Type)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5" w:name="xdx_90C_edei--EntityRegistrantName_c2025"/>
      <w:bookmarkEnd w:id="25"/>
      <w:r>
        <w:rPr>
          <w:rFonts w:ascii="Times New Roman;Times;Serif" w:hAnsi="Times New Roman;Times;Serif"/>
          <w:b/>
          <w:i w:val="false"/>
          <w:caps w:val="false"/>
          <w:smallCaps w:val="false"/>
          <w:sz w:val="20"/>
        </w:rPr>
        <w:t>Microbot Medical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1: Newly Registered and Carry Forward Securities</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6" w:name="xdx_30A_101_zAIkXhgxLSLi"/>
      <w:bookmarkStart w:id="27" w:name="xdx_30A_101_zAIkXhgxLSLi"/>
      <w:bookmarkEnd w:id="27"/>
    </w:p>
    <w:tbl>
      <w:tblPr>
        <w:tblW w:w="10280" w:type="dxa"/>
        <w:jc w:val="left"/>
        <w:tblInd w:w="0" w:type="dxa"/>
        <w:tblLayout w:type="fixed"/>
        <w:tblCellMar>
          <w:top w:w="0" w:type="dxa"/>
          <w:left w:w="0" w:type="dxa"/>
          <w:bottom w:w="0" w:type="dxa"/>
          <w:right w:w="0" w:type="dxa"/>
        </w:tblCellMar>
      </w:tblPr>
      <w:tblGrid>
        <w:gridCol w:w="1040"/>
        <w:gridCol w:w="60"/>
        <w:gridCol w:w="860"/>
        <w:gridCol w:w="60"/>
        <w:gridCol w:w="860"/>
        <w:gridCol w:w="60"/>
        <w:gridCol w:w="1190"/>
        <w:gridCol w:w="60"/>
        <w:gridCol w:w="64"/>
        <w:gridCol w:w="856"/>
        <w:gridCol w:w="60"/>
        <w:gridCol w:w="60"/>
        <w:gridCol w:w="218"/>
        <w:gridCol w:w="687"/>
        <w:gridCol w:w="60"/>
        <w:gridCol w:w="60"/>
        <w:gridCol w:w="140"/>
        <w:gridCol w:w="1280"/>
        <w:gridCol w:w="60"/>
        <w:gridCol w:w="60"/>
        <w:gridCol w:w="60"/>
        <w:gridCol w:w="1160"/>
        <w:gridCol w:w="60"/>
        <w:gridCol w:w="60"/>
        <w:gridCol w:w="182"/>
        <w:gridCol w:w="888"/>
        <w:gridCol w:w="75"/>
      </w:tblGrid>
      <w:tr>
        <w:trPr/>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8" w:name="xdx_483_effd--OfferingSctyTp_zUnwzDt04tV"/>
            <w:bookmarkEnd w:id="28"/>
          </w:p>
        </w:tc>
        <w:tc>
          <w:tcPr>
            <w:tcW w:w="860" w:type="dxa"/>
            <w:tcBorders>
              <w:bottom w:val="single" w:sz="8" w:space="0" w:color="000000"/>
            </w:tcBorders>
            <w:tcMar>
              <w:bottom w:w="28" w:type="dxa"/>
            </w:tcMar>
            <w:vAlign w:val="center"/>
          </w:tcPr>
          <w:p>
            <w:pPr>
              <w:pStyle w:val="TableContents"/>
              <w:bidi w:val="0"/>
              <w:spacing w:before="0" w:after="283"/>
              <w:jc w:val="center"/>
              <w:rPr>
                <w:b/>
              </w:rPr>
            </w:pPr>
            <w:r>
              <w:rPr>
                <w:b/>
              </w:rPr>
              <w:t>Security Type</w:t>
            </w:r>
          </w:p>
        </w:tc>
        <w:tc>
          <w:tcPr>
            <w:tcW w:w="60" w:type="dxa"/>
            <w:tcBorders/>
            <w:vAlign w:val="center"/>
          </w:tcPr>
          <w:p>
            <w:pPr>
              <w:pStyle w:val="TableContents"/>
              <w:bidi w:val="0"/>
              <w:spacing w:before="0" w:after="283"/>
              <w:jc w:val="left"/>
              <w:rPr/>
            </w:pPr>
            <w:r>
              <w:rPr/>
              <w:t> </w:t>
            </w:r>
            <w:bookmarkStart w:id="29" w:name="xdx_48D_effd--OfferingSctyTitl_zlpyqH0Ku"/>
            <w:bookmarkEnd w:id="29"/>
          </w:p>
        </w:tc>
        <w:tc>
          <w:tcPr>
            <w:tcW w:w="860" w:type="dxa"/>
            <w:tcBorders>
              <w:bottom w:val="single" w:sz="8" w:space="0" w:color="000000"/>
            </w:tcBorders>
            <w:tcMar>
              <w:bottom w:w="28" w:type="dxa"/>
            </w:tcMar>
            <w:vAlign w:val="center"/>
          </w:tcPr>
          <w:p>
            <w:pPr>
              <w:pStyle w:val="TableContents"/>
              <w:bidi w:val="0"/>
              <w:spacing w:before="0" w:after="283"/>
              <w:jc w:val="center"/>
              <w:rPr>
                <w:b/>
              </w:rPr>
            </w:pPr>
            <w:r>
              <w:rPr>
                <w:b/>
              </w:rPr>
              <w:t>Security</w:t>
              <w:br/>
              <w:t>Class Title</w:t>
            </w:r>
          </w:p>
        </w:tc>
        <w:tc>
          <w:tcPr>
            <w:tcW w:w="60" w:type="dxa"/>
            <w:tcBorders/>
            <w:vAlign w:val="center"/>
          </w:tcPr>
          <w:p>
            <w:pPr>
              <w:pStyle w:val="TableContents"/>
              <w:bidi w:val="0"/>
              <w:spacing w:before="0" w:after="283"/>
              <w:jc w:val="left"/>
              <w:rPr/>
            </w:pPr>
            <w:r>
              <w:rPr/>
              <w:t> </w:t>
            </w:r>
          </w:p>
        </w:tc>
        <w:tc>
          <w:tcPr>
            <w:tcW w:w="1190" w:type="dxa"/>
            <w:tcBorders>
              <w:bottom w:val="single" w:sz="8" w:space="0" w:color="000000"/>
            </w:tcBorders>
            <w:tcMar>
              <w:bottom w:w="28" w:type="dxa"/>
            </w:tcMar>
            <w:vAlign w:val="center"/>
          </w:tcPr>
          <w:p>
            <w:pPr>
              <w:pStyle w:val="TableContents"/>
              <w:bidi w:val="0"/>
              <w:spacing w:before="0" w:after="283"/>
              <w:jc w:val="center"/>
              <w:rPr>
                <w:b/>
              </w:rPr>
            </w:pPr>
            <w:r>
              <w:rPr>
                <w:b/>
              </w:rPr>
              <w:t>Fee</w:t>
              <w:br/>
              <w:t>Calculation</w:t>
              <w:br/>
              <w:t>Rule or</w:t>
              <w:br/>
              <w:t>Carry</w:t>
              <w:br/>
              <w:t>Forward</w:t>
              <w:br/>
              <w:t>Rule</w:t>
            </w:r>
          </w:p>
        </w:tc>
        <w:tc>
          <w:tcPr>
            <w:tcW w:w="60" w:type="dxa"/>
            <w:tcBorders/>
            <w:vAlign w:val="center"/>
          </w:tcPr>
          <w:p>
            <w:pPr>
              <w:pStyle w:val="TableContents"/>
              <w:bidi w:val="0"/>
              <w:spacing w:before="0" w:after="283"/>
              <w:jc w:val="left"/>
              <w:rPr/>
            </w:pPr>
            <w:r>
              <w:rPr/>
              <w:t> </w:t>
            </w:r>
            <w:bookmarkStart w:id="30" w:name="xdx_48A_effd--AmtSctiesRegd_pid_zlB1ERGg"/>
            <w:bookmarkEnd w:id="30"/>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br/>
              <w:t xml:space="preserve">Registered </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 w:name="xdx_487_effd--MaxOfferingPricPerScty_pid"/>
            <w:bookmarkEnd w:id="31"/>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Proposed</w:t>
              <w:br/>
              <w:t>Maximum</w:t>
              <w:br/>
              <w:t>Offering</w:t>
              <w:br/>
              <w:t>Price</w:t>
              <w:br/>
              <w:t>Per Unit</w:t>
            </w:r>
            <w:r>
              <w:rPr>
                <w:rFonts w:ascii="Times New Roman;Times;Serif" w:hAnsi="Times New Roman;Times;Serif"/>
                <w:b/>
                <w:position w:val="7"/>
                <w:sz w:val="16"/>
                <w:sz w:val="20"/>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 w:name="xdx_488_effd--MaxAggtOfferingPric_pid_zb"/>
            <w:bookmarkEnd w:id="32"/>
          </w:p>
        </w:tc>
        <w:tc>
          <w:tcPr>
            <w:tcW w:w="14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Maximum</w:t>
              <w:br/>
              <w:t>Aggregate</w:t>
              <w:br/>
              <w:t>Offering</w:t>
              <w:br/>
              <w:t>Price</w:t>
            </w:r>
            <w:r>
              <w:rPr>
                <w:rFonts w:ascii="Times New Roman;Times;Serif" w:hAnsi="Times New Roman;Times;Serif"/>
                <w:b/>
                <w:position w:val="7"/>
                <w:sz w:val="16"/>
                <w:sz w:val="20"/>
              </w:rPr>
              <w:t xml:space="preserve">(1)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 w:name="xdx_489_effd--FeeRate_pid_zOPYxWKyE689"/>
            <w:bookmarkEnd w:id="33"/>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Fee Rate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 w:name="xdx_480_effd--FeeAmt_pid_zUgqOrFuaq6d"/>
            <w:bookmarkEnd w:id="34"/>
          </w:p>
        </w:tc>
        <w:tc>
          <w:tcPr>
            <w:tcW w:w="10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 of</w:t>
              <w:br/>
              <w:t>Registration</w:t>
              <w:br/>
              <w:t>Fee</w:t>
            </w:r>
            <w:r>
              <w:rPr>
                <w:rFonts w:ascii="Times New Roman;Times;Serif" w:hAnsi="Times New Roman;Times;Serif"/>
                <w:b/>
                <w:position w:val="7"/>
                <w:sz w:val="16"/>
                <w:sz w:val="20"/>
              </w:rPr>
              <w:t>(2)</w:t>
            </w:r>
          </w:p>
        </w:tc>
        <w:tc>
          <w:tcPr>
            <w:tcW w:w="75" w:type="dxa"/>
            <w:tcBorders/>
            <w:vAlign w:val="center"/>
          </w:tcPr>
          <w:p>
            <w:pPr>
              <w:pStyle w:val="TableContents"/>
              <w:bidi w:val="0"/>
              <w:spacing w:before="0" w:after="283"/>
              <w:jc w:val="left"/>
              <w:rPr/>
            </w:pPr>
            <w:r>
              <w:rPr/>
              <w:t> </w:t>
            </w:r>
            <w:bookmarkStart w:id="35" w:name="xdx_41C_20251014__20251014__ffd--Offerin"/>
            <w:bookmarkEnd w:id="35"/>
          </w:p>
        </w:tc>
      </w:tr>
      <w:tr>
        <w:trPr/>
        <w:tc>
          <w:tcPr>
            <w:tcW w:w="1040" w:type="dxa"/>
            <w:tcBorders/>
            <w:shd w:fill="CCEEFF" w:val="clear"/>
            <w:vAlign w:val="center"/>
          </w:tcPr>
          <w:p>
            <w:pPr>
              <w:pStyle w:val="TableContents"/>
              <w:bidi w:val="0"/>
              <w:spacing w:before="0" w:after="283"/>
              <w:jc w:val="left"/>
              <w:rPr/>
            </w:pPr>
            <w:r>
              <w:rPr/>
              <w:t>Fees to be Paid</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center"/>
              <w:rPr/>
            </w:pPr>
            <w:r>
              <w:rPr/>
              <w:t>Equity</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Common Stock, $0.01 par value per share</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bookmarkStart w:id="36" w:name="xdx_98D_effd--FeesOthrRuleFlg_dbT_c20251"/>
            <w:bookmarkEnd w:id="36"/>
          </w:p>
        </w:tc>
        <w:tc>
          <w:tcPr>
            <w:tcW w:w="1190" w:type="dxa"/>
            <w:tcBorders/>
            <w:shd w:fill="CCEEFF" w:val="clear"/>
            <w:vAlign w:val="center"/>
          </w:tcPr>
          <w:p>
            <w:pPr>
              <w:pStyle w:val="TableContents"/>
              <w:bidi w:val="0"/>
              <w:spacing w:before="0" w:after="283"/>
              <w:jc w:val="center"/>
              <w:rPr/>
            </w:pPr>
            <w:r>
              <w:rPr/>
              <w:t>457(c)</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900,153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687" w:type="dxa"/>
            <w:tcBorders/>
            <w:shd w:fill="CCEEFF" w:val="clear"/>
            <w:vAlign w:val="center"/>
          </w:tcPr>
          <w:p>
            <w:pPr>
              <w:pStyle w:val="TableContents"/>
              <w:bidi w:val="0"/>
              <w:spacing w:before="0" w:after="283"/>
              <w:jc w:val="right"/>
              <w:rPr/>
            </w:pPr>
            <w:r>
              <w:rPr/>
              <w:t>3.25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jc w:val="right"/>
              <w:rPr/>
            </w:pPr>
            <w:r>
              <w:rPr/>
              <w:t>2,925,497.25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0.00013810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88" w:type="dxa"/>
            <w:tcBorders/>
            <w:shd w:fill="CCEEFF" w:val="clear"/>
            <w:vAlign w:val="center"/>
          </w:tcPr>
          <w:p>
            <w:pPr>
              <w:pStyle w:val="TableContents"/>
              <w:bidi w:val="0"/>
              <w:spacing w:before="0" w:after="283"/>
              <w:jc w:val="right"/>
              <w:rPr/>
            </w:pPr>
            <w:r>
              <w:rPr/>
              <w:t>404.02</w:t>
            </w:r>
          </w:p>
        </w:tc>
        <w:tc>
          <w:tcPr>
            <w:tcW w:w="75" w:type="dxa"/>
            <w:tcBorders/>
            <w:shd w:fill="CCEEFF" w:val="clear"/>
            <w:vAlign w:val="center"/>
          </w:tcPr>
          <w:p>
            <w:pPr>
              <w:pStyle w:val="TableContents"/>
              <w:bidi w:val="0"/>
              <w:spacing w:before="0" w:after="283"/>
              <w:jc w:val="left"/>
              <w:rPr/>
            </w:pPr>
            <w:r>
              <w:rPr/>
              <w:t> </w:t>
            </w:r>
            <w:bookmarkStart w:id="37" w:name="xdx_989_effd--PrevslyPdFlg_dbF_c20251014"/>
            <w:bookmarkEnd w:id="37"/>
          </w:p>
        </w:tc>
      </w:tr>
      <w:tr>
        <w:trPr/>
        <w:tc>
          <w:tcPr>
            <w:tcW w:w="1040" w:type="dxa"/>
            <w:tcBorders/>
            <w:shd w:fill="FFFFFF" w:val="clear"/>
            <w:vAlign w:val="center"/>
          </w:tcPr>
          <w:p>
            <w:pPr>
              <w:pStyle w:val="TableContents"/>
              <w:bidi w:val="0"/>
              <w:spacing w:before="0" w:after="283"/>
              <w:jc w:val="left"/>
              <w:rPr/>
            </w:pPr>
            <w:r>
              <w:rPr/>
              <w:t>Fees Previously Paid</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center"/>
              <w:rPr/>
            </w:pPr>
            <w:r>
              <w:rPr/>
              <w:t>–</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center"/>
              <w:rPr/>
            </w:pPr>
            <w:r>
              <w:rPr/>
              <w:t>–</w:t>
            </w:r>
          </w:p>
        </w:tc>
        <w:tc>
          <w:tcPr>
            <w:tcW w:w="60"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center"/>
              <w:rPr/>
            </w:pPr>
            <w:r>
              <w:rPr/>
              <w:t>–</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283"/>
              <w:jc w:val="left"/>
              <w:rPr/>
            </w:pPr>
            <w:r>
              <w:rPr/>
              <w:t>Carry Forward Securities</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0" w:type="dxa"/>
            <w:gridSpan w:val="5"/>
            <w:tcBorders/>
            <w:shd w:fill="CCEEFF" w:val="clear"/>
            <w:vAlign w:val="center"/>
          </w:tcPr>
          <w:p>
            <w:pPr>
              <w:pStyle w:val="TableContents"/>
              <w:bidi w:val="0"/>
              <w:spacing w:before="0" w:after="283"/>
              <w:jc w:val="center"/>
              <w:rPr>
                <w:b/>
              </w:rPr>
            </w:pPr>
            <w:r>
              <w:rPr>
                <w:b/>
              </w:rPr>
              <w:t>Total Offering Amounts</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38" w:name="xdx_987_effd--TtlOfferingAmt_pid_c202510"/>
            <w:bookmarkEnd w:id="38"/>
          </w:p>
        </w:tc>
        <w:tc>
          <w:tcPr>
            <w:tcW w:w="1280" w:type="dxa"/>
            <w:tcBorders/>
            <w:shd w:fill="CCEEFF" w:val="clear"/>
            <w:vAlign w:val="center"/>
          </w:tcPr>
          <w:p>
            <w:pPr>
              <w:pStyle w:val="TableContents"/>
              <w:bidi w:val="0"/>
              <w:spacing w:before="0" w:after="283"/>
              <w:jc w:val="right"/>
              <w:rPr/>
            </w:pPr>
            <w:r>
              <w:rPr/>
              <w:t>2,925,497.25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0.00013810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39" w:name="xdx_984_effd--TtlFeeAmt_pid_c20251014__2"/>
            <w:bookmarkEnd w:id="39"/>
          </w:p>
        </w:tc>
        <w:tc>
          <w:tcPr>
            <w:tcW w:w="888" w:type="dxa"/>
            <w:tcBorders>
              <w:bottom w:val="single" w:sz="8" w:space="0" w:color="000000"/>
            </w:tcBorders>
            <w:shd w:fill="CCEEFF" w:val="clear"/>
            <w:tcMar>
              <w:bottom w:w="28" w:type="dxa"/>
            </w:tcMar>
            <w:vAlign w:val="center"/>
          </w:tcPr>
          <w:p>
            <w:pPr>
              <w:pStyle w:val="TableContents"/>
              <w:bidi w:val="0"/>
              <w:spacing w:before="0" w:after="283"/>
              <w:jc w:val="right"/>
              <w:rPr/>
            </w:pPr>
            <w:r>
              <w:rPr/>
              <w:t>404.02</w:t>
            </w:r>
          </w:p>
        </w:tc>
        <w:tc>
          <w:tcPr>
            <w:tcW w:w="75" w:type="dxa"/>
            <w:tcBorders/>
            <w:shd w:fill="CCEEFF" w:val="clear"/>
            <w:vAlign w:val="center"/>
          </w:tcPr>
          <w:p>
            <w:pPr>
              <w:pStyle w:val="TableContents"/>
              <w:bidi w:val="0"/>
              <w:spacing w:before="0" w:after="283"/>
              <w:jc w:val="left"/>
              <w:rPr/>
            </w:pPr>
            <w:r>
              <w:rPr/>
              <w:t> </w:t>
            </w:r>
          </w:p>
        </w:tc>
      </w:tr>
      <w:tr>
        <w:trPr/>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0" w:type="dxa"/>
            <w:gridSpan w:val="5"/>
            <w:tcBorders/>
            <w:shd w:fill="FFFFFF" w:val="clear"/>
            <w:vAlign w:val="center"/>
          </w:tcPr>
          <w:p>
            <w:pPr>
              <w:pStyle w:val="TableContents"/>
              <w:bidi w:val="0"/>
              <w:spacing w:before="0" w:after="283"/>
              <w:jc w:val="center"/>
              <w:rPr>
                <w:b/>
              </w:rPr>
            </w:pPr>
            <w:r>
              <w:rPr>
                <w:b/>
              </w:rPr>
              <w:t>Total Fee Offsets</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40" w:name="xdx_988_effd--TtlOffsetAmt_pid_c20251014"/>
            <w:bookmarkEnd w:id="40"/>
          </w:p>
        </w:tc>
        <w:tc>
          <w:tcPr>
            <w:tcW w:w="88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0" w:type="dxa"/>
            <w:gridSpan w:val="5"/>
            <w:tcBorders/>
            <w:shd w:fill="CCEEFF" w:val="clear"/>
            <w:vAlign w:val="center"/>
          </w:tcPr>
          <w:p>
            <w:pPr>
              <w:pStyle w:val="TableContents"/>
              <w:bidi w:val="0"/>
              <w:spacing w:before="0" w:after="283"/>
              <w:jc w:val="center"/>
              <w:rPr>
                <w:b/>
              </w:rPr>
            </w:pPr>
            <w:r>
              <w:rPr>
                <w:b/>
              </w:rPr>
              <w:t>Net Fee Due</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1" w:name="xdx_980_effd--NetFeeAmt_pid_c20251014__2"/>
            <w:bookmarkEnd w:id="41"/>
          </w:p>
        </w:tc>
        <w:tc>
          <w:tcPr>
            <w:tcW w:w="888" w:type="dxa"/>
            <w:tcBorders>
              <w:bottom w:val="double" w:sz="6" w:space="0" w:color="000000"/>
            </w:tcBorders>
            <w:shd w:fill="CCEEFF" w:val="clear"/>
            <w:tcMar>
              <w:bottom w:w="28" w:type="dxa"/>
            </w:tcMar>
            <w:vAlign w:val="center"/>
          </w:tcPr>
          <w:p>
            <w:pPr>
              <w:pStyle w:val="TableContents"/>
              <w:bidi w:val="0"/>
              <w:spacing w:before="0" w:after="283"/>
              <w:jc w:val="right"/>
              <w:rPr/>
            </w:pPr>
            <w:r>
              <w:rPr/>
              <w:t>404.02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bookmarkStart w:id="42" w:name="xdx_98C_effd--OfferingNote_c20251014__20"/>
            <w:bookmarkEnd w:id="42"/>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416 under the Securities Act, this registration statement shall also cover any additional shares of the registrant’s securities that become issuable by reason of any share splits, share dividends or similar transactions.</w:t>
            </w:r>
          </w:p>
        </w:tc>
      </w:tr>
      <w:tr>
        <w:trPr/>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3" w:name="xdx_C07_gBFON-MNM_zXoPiUunC1i7"/>
            <w:bookmarkEnd w:id="43"/>
            <w:r>
              <w:rPr>
                <w:rFonts w:ascii="Times New Roman;Times;Serif" w:hAnsi="Times New Roman;Times;Serif"/>
                <w:b w:val="false"/>
                <w:i w:val="false"/>
                <w:caps w:val="false"/>
                <w:smallCaps w:val="false"/>
                <w:sz w:val="20"/>
              </w:rPr>
              <w:t>Estimated in accordance with Rules 457(c) solely for purposes of calculating the registration fee, based on the average of the high and low prices of the Registrant’s common stock as reported on the Nasdaq Capital Market on October 7, 2025 ($3.25 per share of common stock).</w:t>
            </w:r>
          </w:p>
        </w:tc>
      </w:tr>
      <w:tr>
        <w:trPr/>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4" w:name="xdx_C03_gBFON-MNM_zzsR6cBfulH6"/>
            <w:bookmarkEnd w:id="44"/>
            <w:r>
              <w:rPr>
                <w:rFonts w:ascii="Times New Roman;Times;Serif" w:hAnsi="Times New Roman;Times;Serif"/>
                <w:b w:val="false"/>
                <w:i w:val="false"/>
                <w:caps w:val="false"/>
                <w:smallCaps w:val="false"/>
                <w:sz w:val="20"/>
              </w:rPr>
              <w:t>Consists of an aggregate of 900,153 shares of the Registrant’s common stock issuable upon the exercise of outstanding warrants of the Registrant.</w:t>
            </w:r>
          </w:p>
        </w:tc>
      </w:tr>
    </w:tbl>
    <w:p>
      <w:pPr>
        <w:pStyle w:val="TextBody"/>
        <w:bidi w:val="0"/>
        <w:spacing w:before="0" w:after="0"/>
        <w:jc w:val="center"/>
        <w:rPr>
          <w:rFonts w:ascii="Times New Roman;Times;Serif" w:hAnsi="Times New Roman;Times;Serif"/>
          <w:b w:val="false"/>
          <w:i w:val="false"/>
          <w:caps w:val="false"/>
          <w:smallCaps w:val="false"/>
          <w:sz w:val="20"/>
        </w:rPr>
      </w:pPr>
      <w:bookmarkStart w:id="45" w:name="xdx_904_effd--OffsetTableNa_c20251014__2"/>
      <w:bookmarkStart w:id="46" w:name="xdx_906_effd--CombinedProspectusTableNa_"/>
      <w:bookmarkEnd w:id="45"/>
      <w:bookmarkEnd w:id="46"/>
      <w:r>
        <w:rPr>
          <w:rFonts w:ascii="Times New Roman;Times;Serif" w:hAnsi="Times New Roman;Times;Serif"/>
          <w:b w:val="false"/>
          <w:i w:val="false"/>
          <w:caps w:val="false"/>
          <w:smallCaps w:val="false"/>
          <w:sz w:val="20"/>
        </w:rPr>
        <w:t>N/A</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883975/000164117225000614/form10-k.htm" TargetMode="External"/><Relationship Id="rId4" Type="http://schemas.openxmlformats.org/officeDocument/2006/relationships/hyperlink" Target="https://www.sec.gov/Archives/edgar/data/883975/000164117225010277/form10-q.htm" TargetMode="External"/><Relationship Id="rId5" Type="http://schemas.openxmlformats.org/officeDocument/2006/relationships/hyperlink" Target="https://www.sec.gov/Archives/edgar/data/883975/000164117225023206/form10-q.htm" TargetMode="External"/><Relationship Id="rId6" Type="http://schemas.openxmlformats.org/officeDocument/2006/relationships/hyperlink" Target="https://www.sec.gov/Archives/edgar/data/883975/000149315225000366/form8-k.htm" TargetMode="External"/><Relationship Id="rId7" Type="http://schemas.openxmlformats.org/officeDocument/2006/relationships/hyperlink" Target="https://www.sec.gov/Archives/edgar/data/883975/000149315225001133/form8-k.htm" TargetMode="External"/><Relationship Id="rId8" Type="http://schemas.openxmlformats.org/officeDocument/2006/relationships/hyperlink" Target="https://www.sec.gov/Archives/edgar/data/883975/000149315225001559/form8-k.htm" TargetMode="External"/><Relationship Id="rId9" Type="http://schemas.openxmlformats.org/officeDocument/2006/relationships/hyperlink" Target="https://www.sec.gov/Archives/edgar/data/883975/000149315225003582/form8-k.htm" TargetMode="External"/><Relationship Id="rId10" Type="http://schemas.openxmlformats.org/officeDocument/2006/relationships/hyperlink" Target="https://www.sec.gov/Archives/edgar/data/883975/000149315225003818/form8-k.htm" TargetMode="External"/><Relationship Id="rId11" Type="http://schemas.openxmlformats.org/officeDocument/2006/relationships/hyperlink" Target="https://www.sec.gov/Archives/edgar/data/883975/000149315225005410/form8-k.htm" TargetMode="External"/><Relationship Id="rId12" Type="http://schemas.openxmlformats.org/officeDocument/2006/relationships/hyperlink" Target="https://www.sec.gov/Archives/edgar/data/883975/000149315225005489/form8-k.htm" TargetMode="External"/><Relationship Id="rId13" Type="http://schemas.openxmlformats.org/officeDocument/2006/relationships/hyperlink" Target="https://www.sec.gov/Archives/edgar/data/883975/000149315225005820/form8-k.htm" TargetMode="External"/><Relationship Id="rId14" Type="http://schemas.openxmlformats.org/officeDocument/2006/relationships/hyperlink" Target="https://www.sec.gov/Archives/edgar/data/883975/000149315225005967/form8-k.htm" TargetMode="External"/><Relationship Id="rId15" Type="http://schemas.openxmlformats.org/officeDocument/2006/relationships/hyperlink" Target="https://www.sec.gov/Archives/edgar/data/883975/000149315225008140/form8-k.htm" TargetMode="External"/><Relationship Id="rId16" Type="http://schemas.openxmlformats.org/officeDocument/2006/relationships/hyperlink" Target="https://www.sec.gov/Archives/edgar/data/883975/000164117225003335/form8-k.htm" TargetMode="External"/><Relationship Id="rId17" Type="http://schemas.openxmlformats.org/officeDocument/2006/relationships/hyperlink" Target="https://www.sec.gov/Archives/edgar/data/883975/000164117225004707/form8-k.htm" TargetMode="External"/><Relationship Id="rId18" Type="http://schemas.openxmlformats.org/officeDocument/2006/relationships/hyperlink" Target="https://www.sec.gov/Archives/edgar/data/883975/000164117225005289/form8-k.htm" TargetMode="External"/><Relationship Id="rId19" Type="http://schemas.openxmlformats.org/officeDocument/2006/relationships/hyperlink" Target="https://www.sec.gov/Archives/edgar/data/883975/000164117225005780/form8-k.htm" TargetMode="External"/><Relationship Id="rId20" Type="http://schemas.openxmlformats.org/officeDocument/2006/relationships/hyperlink" Target="https://www.sec.gov/Archives/edgar/data/883975/000164117225014242/form8-k.htm" TargetMode="External"/><Relationship Id="rId21" Type="http://schemas.openxmlformats.org/officeDocument/2006/relationships/hyperlink" Target="https://www.sec.gov/Archives/edgar/data/883975/000164117225014622/form8-k.htm" TargetMode="External"/><Relationship Id="rId22" Type="http://schemas.openxmlformats.org/officeDocument/2006/relationships/hyperlink" Target="https://www.sec.gov/Archives/edgar/data/883975/000164117225015345/form8-k.htm" TargetMode="External"/><Relationship Id="rId23" Type="http://schemas.openxmlformats.org/officeDocument/2006/relationships/hyperlink" Target="https://www.sec.gov/Archives/edgar/data/883975/000164117225020076/form8-k.htm" TargetMode="External"/><Relationship Id="rId24" Type="http://schemas.openxmlformats.org/officeDocument/2006/relationships/hyperlink" Target="https://www.sec.gov/Archives/edgar/data/883975/000164117225021486/form8-k.htm" TargetMode="External"/><Relationship Id="rId25" Type="http://schemas.openxmlformats.org/officeDocument/2006/relationships/hyperlink" Target="https://www.sec.gov/Archives/edgar/data/883975/000164117225022151/form8-k.htm" TargetMode="External"/><Relationship Id="rId26" Type="http://schemas.openxmlformats.org/officeDocument/2006/relationships/hyperlink" Target="https://www.sec.gov/Archives/edgar/data/883975/000164117225024927/form8-k.htm" TargetMode="External"/><Relationship Id="rId27" Type="http://schemas.openxmlformats.org/officeDocument/2006/relationships/hyperlink" Target="https://www.sec.gov/Archives/edgar/data/883975/000164117225025390/form8-k.htm" TargetMode="External"/><Relationship Id="rId28" Type="http://schemas.openxmlformats.org/officeDocument/2006/relationships/hyperlink" Target="https://www.sec.gov/Archives/edgar/data/883975/000164117225025709/form8-k.htm" TargetMode="External"/><Relationship Id="rId29" Type="http://schemas.openxmlformats.org/officeDocument/2006/relationships/hyperlink" Target="https://www.sec.gov/Archives/edgar/data/883975/000164117225026815/form8-k.htm" TargetMode="External"/><Relationship Id="rId30" Type="http://schemas.openxmlformats.org/officeDocument/2006/relationships/hyperlink" Target="https://www.sec.gov/Archives/edgar/data/883975/000149315225013743/form8-k.htm" TargetMode="External"/><Relationship Id="rId31" Type="http://schemas.openxmlformats.org/officeDocument/2006/relationships/hyperlink" Target="https://www.sec.gov/Archives/edgar/data/883975/000149315225014263/form8-k.htm" TargetMode="External"/><Relationship Id="rId32" Type="http://schemas.openxmlformats.org/officeDocument/2006/relationships/hyperlink" Target="https://www.sec.gov/Archives/edgar/data/883975/000149315225016484/form8-k.htm" TargetMode="External"/><Relationship Id="rId33" Type="http://schemas.openxmlformats.org/officeDocument/2006/relationships/hyperlink" Target="https://www.sec.gov/Archives/edgar/data/883975/000149315225016866/form8-k.htm" TargetMode="External"/><Relationship Id="rId34" Type="http://schemas.openxmlformats.org/officeDocument/2006/relationships/hyperlink" Target="https://www.sec.gov/Archives/edgar/data/883975/000149315225017212/form8-k.htm" TargetMode="External"/><Relationship Id="rId35" Type="http://schemas.openxmlformats.org/officeDocument/2006/relationships/hyperlink" Target="https://www.sec.gov/Archives/edgar/data/883975/0001047469-98-029068.txt" TargetMode="External"/><Relationship Id="rId36" Type="http://schemas.openxmlformats.org/officeDocument/2006/relationships/hyperlink" Target="https://www.sec.gov/Archives/edgar/data/883975/000119312516682077/d161430dex21.htm" TargetMode="External"/><Relationship Id="rId37" Type="http://schemas.openxmlformats.org/officeDocument/2006/relationships/hyperlink" Target="https://www.sec.gov/Archives/edgar/data/883975/000095013407005808/f27726exv3w1.htm" TargetMode="External"/><Relationship Id="rId38" Type="http://schemas.openxmlformats.org/officeDocument/2006/relationships/hyperlink" Target="https://www.sec.gov/Archives/edgar/data/883975/000149315218012872/ex3-1.htm" TargetMode="External"/><Relationship Id="rId39" Type="http://schemas.openxmlformats.org/officeDocument/2006/relationships/hyperlink" Target="https://www.sec.gov/Archives/edgar/data/883975/000149315218012872/ex3-1.htm" TargetMode="External"/><Relationship Id="rId40" Type="http://schemas.openxmlformats.org/officeDocument/2006/relationships/hyperlink" Target="https://www.sec.gov/Archives/edgar/data/883975/000129993316002374/exhibit1.htm" TargetMode="External"/><Relationship Id="rId41" Type="http://schemas.openxmlformats.org/officeDocument/2006/relationships/hyperlink" Target="https://www.sec.gov/Archives/edgar/data/883975/000149315218017395/ex3-1.htm" TargetMode="External"/><Relationship Id="rId42" Type="http://schemas.openxmlformats.org/officeDocument/2006/relationships/hyperlink" Target="https://www.sec.gov/Archives/edgar/data/883975/000149315219013998/ex3-1.htm" TargetMode="External"/><Relationship Id="rId43" Type="http://schemas.openxmlformats.org/officeDocument/2006/relationships/hyperlink" Target="https://www.sec.gov/Archives/edgar/data/883975/000149315221010347/ex3-1.htm" TargetMode="External"/><Relationship Id="rId44" Type="http://schemas.openxmlformats.org/officeDocument/2006/relationships/hyperlink" Target="https://www.sec.gov/Archives/edgar/data/883975/000164117225004707/ex3-1.htm" TargetMode="External"/><Relationship Id="rId45" Type="http://schemas.openxmlformats.org/officeDocument/2006/relationships/hyperlink" Target="https://www.sec.gov/Archives/edgar/data/883975/000164117225014622/ex3-1.htm" TargetMode="External"/><Relationship Id="rId46" Type="http://schemas.openxmlformats.org/officeDocument/2006/relationships/hyperlink" Target="https://www.sec.gov/Archives/edgar/data/883975/000149315220006338/ex4-10.htm" TargetMode="External"/><Relationship Id="rId47" Type="http://schemas.openxmlformats.org/officeDocument/2006/relationships/hyperlink" Target="https://www.sec.gov/Archives/edgar/data/883975/000149315222029541/ex4-4.htm" TargetMode="External"/><Relationship Id="rId48" Type="http://schemas.openxmlformats.org/officeDocument/2006/relationships/hyperlink" Target="https://www.sec.gov/Archives/edgar/data/883975/000149315223018718/ex4-1.htm" TargetMode="External"/><Relationship Id="rId49" Type="http://schemas.openxmlformats.org/officeDocument/2006/relationships/hyperlink" Target="https://www.sec.gov/Archives/edgar/data/883975/000149315223018932/ex4-2.htm" TargetMode="External"/><Relationship Id="rId50" Type="http://schemas.openxmlformats.org/officeDocument/2006/relationships/hyperlink" Target="https://www.sec.gov/Archives/edgar/data/883975/000149315223018932/ex10-2.htm" TargetMode="External"/><Relationship Id="rId51" Type="http://schemas.openxmlformats.org/officeDocument/2006/relationships/hyperlink" Target="https://www.sec.gov/Archives/edgar/data/883975/000149315223020309/ex4-2.htm" TargetMode="External"/><Relationship Id="rId52" Type="http://schemas.openxmlformats.org/officeDocument/2006/relationships/hyperlink" Target="https://www.sec.gov/Archives/edgar/data/883975/000149315223022814/ex4-2.htm" TargetMode="External"/><Relationship Id="rId53" Type="http://schemas.openxmlformats.org/officeDocument/2006/relationships/hyperlink" Target="https://www.sec.gov/Archives/edgar/data/883975/000149315224000109/ex4-2.htm" TargetMode="External"/><Relationship Id="rId54" Type="http://schemas.openxmlformats.org/officeDocument/2006/relationships/hyperlink" Target="https://www.sec.gov/Archives/edgar/data/883975/000149315224022560/ex4-2.htm" TargetMode="External"/><Relationship Id="rId55" Type="http://schemas.openxmlformats.org/officeDocument/2006/relationships/hyperlink" Target="https://www.sec.gov/Archives/edgar/data/883975/000149315225001133/ex4-2.htm" TargetMode="External"/><Relationship Id="rId56" Type="http://schemas.openxmlformats.org/officeDocument/2006/relationships/hyperlink" Target="https://www.sec.gov/Archives/edgar/data/883975/000149315225001559/ex4-2.htm" TargetMode="External"/><Relationship Id="rId57" Type="http://schemas.openxmlformats.org/officeDocument/2006/relationships/hyperlink" Target="https://www.sec.gov/Archives/edgar/data/883975/000149315225013743/ex4-1.htm" TargetMode="External"/><Relationship Id="rId58" Type="http://schemas.openxmlformats.org/officeDocument/2006/relationships/hyperlink" Target="https://www.sec.gov/Archives/edgar/data/883975/000149315225005820/ex4-2.htm" TargetMode="External"/><Relationship Id="rId59" Type="http://schemas.openxmlformats.org/officeDocument/2006/relationships/hyperlink" Target="https://www.sec.gov/Archives/edgar/data/883975/000149315225013743/ex4-2.htm" TargetMode="External"/><Relationship Id="rId60" Type="http://schemas.openxmlformats.org/officeDocument/2006/relationships/image" Target="media/image2.jpeg"/><Relationship Id="rId61" Type="http://schemas.openxmlformats.org/officeDocument/2006/relationships/fontTable" Target="fontTable.xml"/><Relationship Id="rId6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15698</Words>
  <Characters>84516</Characters>
  <CharactersWithSpaces>100478</CharactersWithSpaces>
  <Paragraphs>1602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