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filed with the Securities and Exchange Commission on July 14, 2004</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wp:posOffset>
            </wp:positionV>
            <wp:extent cx="725995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955" cy="36830"/>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FORM S-3</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REGISTRATION STATEMENT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UNDER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SECURITIES ACT OF 1933</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STEMCELLS,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9" w:lineRule="exact"/>
        <w:rPr>
          <w:sz w:val="20"/>
          <w:szCs w:val="20"/>
          <w:color w:val="auto"/>
        </w:rPr>
      </w:pPr>
    </w:p>
    <w:tbl>
      <w:tblPr>
        <w:tblLayout w:type="fixed"/>
        <w:tblInd w:w="2140" w:type="dxa"/>
        <w:tblCellMar>
          <w:top w:w="0" w:type="dxa"/>
          <w:left w:w="0" w:type="dxa"/>
          <w:bottom w:w="0" w:type="dxa"/>
          <w:right w:w="0" w:type="dxa"/>
        </w:tblCellMar>
      </w:tblPr>
      <w:tr>
        <w:trPr>
          <w:trHeight w:val="202"/>
        </w:trPr>
        <w:tc>
          <w:tcPr>
            <w:tcW w:w="3840" w:type="dxa"/>
            <w:vAlign w:val="bottom"/>
          </w:tcPr>
          <w:p>
            <w:pPr>
              <w:jc w:val="center"/>
              <w:ind w:right="516"/>
              <w:spacing w:after="0"/>
              <w:rPr>
                <w:sz w:val="20"/>
                <w:szCs w:val="20"/>
                <w:color w:val="auto"/>
              </w:rPr>
            </w:pPr>
            <w:r>
              <w:rPr>
                <w:rFonts w:ascii="Arial" w:cs="Arial" w:eastAsia="Arial" w:hAnsi="Arial"/>
                <w:sz w:val="17"/>
                <w:szCs w:val="17"/>
                <w:color w:val="auto"/>
                <w:w w:val="96"/>
              </w:rPr>
              <w:t>DELAWARE</w:t>
            </w:r>
          </w:p>
        </w:tc>
        <w:tc>
          <w:tcPr>
            <w:tcW w:w="2740" w:type="dxa"/>
            <w:vAlign w:val="bottom"/>
          </w:tcPr>
          <w:p>
            <w:pPr>
              <w:jc w:val="center"/>
              <w:ind w:left="516"/>
              <w:spacing w:after="0"/>
              <w:rPr>
                <w:sz w:val="20"/>
                <w:szCs w:val="20"/>
                <w:color w:val="auto"/>
              </w:rPr>
            </w:pPr>
            <w:r>
              <w:rPr>
                <w:rFonts w:ascii="Arial" w:cs="Arial" w:eastAsia="Arial" w:hAnsi="Arial"/>
                <w:sz w:val="17"/>
                <w:szCs w:val="17"/>
                <w:color w:val="auto"/>
                <w:w w:val="90"/>
              </w:rPr>
              <w:t>94-3078125</w:t>
            </w:r>
          </w:p>
        </w:tc>
      </w:tr>
      <w:tr>
        <w:trPr>
          <w:trHeight w:val="202"/>
        </w:trPr>
        <w:tc>
          <w:tcPr>
            <w:tcW w:w="3840" w:type="dxa"/>
            <w:vAlign w:val="bottom"/>
          </w:tcPr>
          <w:p>
            <w:pPr>
              <w:jc w:val="center"/>
              <w:ind w:right="516"/>
              <w:spacing w:after="0"/>
              <w:rPr>
                <w:sz w:val="20"/>
                <w:szCs w:val="20"/>
                <w:color w:val="auto"/>
              </w:rPr>
            </w:pPr>
            <w:r>
              <w:rPr>
                <w:rFonts w:ascii="Arial" w:cs="Arial" w:eastAsia="Arial" w:hAnsi="Arial"/>
                <w:sz w:val="17"/>
                <w:szCs w:val="17"/>
                <w:color w:val="auto"/>
                <w:w w:val="93"/>
              </w:rPr>
              <w:t>(STATE OR OTHER JURISDICTION</w:t>
            </w:r>
          </w:p>
        </w:tc>
        <w:tc>
          <w:tcPr>
            <w:tcW w:w="2740" w:type="dxa"/>
            <w:vAlign w:val="bottom"/>
          </w:tcPr>
          <w:p>
            <w:pPr>
              <w:jc w:val="center"/>
              <w:ind w:left="536"/>
              <w:spacing w:after="0"/>
              <w:rPr>
                <w:sz w:val="20"/>
                <w:szCs w:val="20"/>
                <w:color w:val="auto"/>
              </w:rPr>
            </w:pPr>
            <w:r>
              <w:rPr>
                <w:rFonts w:ascii="Arial" w:cs="Arial" w:eastAsia="Arial" w:hAnsi="Arial"/>
                <w:sz w:val="17"/>
                <w:szCs w:val="17"/>
                <w:color w:val="auto"/>
                <w:w w:val="94"/>
              </w:rPr>
              <w:t>(I.R.S. EMPLOYER</w:t>
            </w:r>
          </w:p>
        </w:tc>
      </w:tr>
      <w:tr>
        <w:trPr>
          <w:trHeight w:val="214"/>
        </w:trPr>
        <w:tc>
          <w:tcPr>
            <w:tcW w:w="3840" w:type="dxa"/>
            <w:vAlign w:val="bottom"/>
          </w:tcPr>
          <w:p>
            <w:pPr>
              <w:jc w:val="center"/>
              <w:ind w:right="516"/>
              <w:spacing w:after="0"/>
              <w:rPr>
                <w:sz w:val="20"/>
                <w:szCs w:val="20"/>
                <w:color w:val="auto"/>
              </w:rPr>
            </w:pPr>
            <w:r>
              <w:rPr>
                <w:rFonts w:ascii="Arial" w:cs="Arial" w:eastAsia="Arial" w:hAnsi="Arial"/>
                <w:sz w:val="17"/>
                <w:szCs w:val="17"/>
                <w:color w:val="auto"/>
                <w:w w:val="94"/>
              </w:rPr>
              <w:t>OF INCORPORATION OR ORGANIZATION)</w:t>
            </w:r>
          </w:p>
        </w:tc>
        <w:tc>
          <w:tcPr>
            <w:tcW w:w="2740" w:type="dxa"/>
            <w:vAlign w:val="bottom"/>
          </w:tcPr>
          <w:p>
            <w:pPr>
              <w:jc w:val="center"/>
              <w:ind w:left="516"/>
              <w:spacing w:after="0"/>
              <w:rPr>
                <w:sz w:val="20"/>
                <w:szCs w:val="20"/>
                <w:color w:val="auto"/>
              </w:rPr>
            </w:pPr>
            <w:r>
              <w:rPr>
                <w:rFonts w:ascii="Arial" w:cs="Arial" w:eastAsia="Arial" w:hAnsi="Arial"/>
                <w:sz w:val="17"/>
                <w:szCs w:val="17"/>
                <w:color w:val="auto"/>
                <w:w w:val="97"/>
              </w:rPr>
              <w:t>IDENTIFICATION NUMBER)</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3155 PORTER DRIVE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PALO ALTO, CA 94304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(650) 475-3100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IRIS BREST, ESQ.</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General Counsel</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StemCells,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3155 Porter Drive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Palo Alto, Ca 94304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(650) 475-3100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(NAME AND ADDRESS, INCLUDING ZIP CODE, AND TELEPHONE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NUMBER, INCLUDING AREA CODE, OF AGENT FOR SERVICE)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Please send copies of all communications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GEOFFREY DAVIS, ESQUIRE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Ropes &amp; Gray LLP</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One International Place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Boston, Massachusetts 02110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(617) 951-7000</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Approximate date of commencement of proposed sale to the public: From time to time after the effectiveness of this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183" w:lineRule="exact"/>
        <w:rPr>
          <w:sz w:val="20"/>
          <w:szCs w:val="20"/>
          <w:color w:val="auto"/>
        </w:rPr>
      </w:pPr>
    </w:p>
    <w:p>
      <w:pPr>
        <w:ind w:right="100"/>
        <w:spacing w:after="0" w:line="217"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3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please check the following box and list the Securities Act registration statement under the earlier effective registration statement for the same offering. o</w:t>
      </w:r>
    </w:p>
    <w:p>
      <w:pPr>
        <w:spacing w:after="0" w:line="140" w:lineRule="exact"/>
        <w:rPr>
          <w:sz w:val="20"/>
          <w:szCs w:val="20"/>
          <w:color w:val="auto"/>
        </w:rPr>
      </w:pPr>
    </w:p>
    <w:p>
      <w:pPr>
        <w:ind w:right="640"/>
        <w:spacing w:after="0" w:line="271" w:lineRule="auto"/>
        <w:rPr>
          <w:sz w:val="20"/>
          <w:szCs w:val="20"/>
          <w:color w:val="auto"/>
        </w:rPr>
      </w:pPr>
      <w:r>
        <w:rPr>
          <w:rFonts w:ascii="Arial" w:cs="Arial" w:eastAsia="Arial" w:hAnsi="Arial"/>
          <w:sz w:val="17"/>
          <w:szCs w:val="17"/>
          <w:color w:val="auto"/>
        </w:rPr>
        <w:t>If this form is a post effective amendment filed pursuant to Rule 462(c)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343535</wp:posOffset>
            </wp:positionV>
            <wp:extent cx="725995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If delivery of the prospectus is expected to be made pursuant to Rule 434, please check the following box: 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CALCULATION OF REGISTRATION FEE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540" w:type="dxa"/>
            <w:vAlign w:val="bottom"/>
            <w:tcBorders>
              <w:top w:val="single" w:sz="8" w:color="auto"/>
              <w:right w:val="single" w:sz="8" w:color="auto"/>
            </w:tcBorders>
          </w:tcPr>
          <w:p>
            <w:pPr>
              <w:jc w:val="center"/>
              <w:ind w:right="26"/>
              <w:spacing w:after="0"/>
              <w:rPr>
                <w:sz w:val="20"/>
                <w:szCs w:val="20"/>
                <w:color w:val="auto"/>
              </w:rPr>
            </w:pPr>
            <w:r>
              <w:rPr>
                <w:rFonts w:ascii="Arial" w:cs="Arial" w:eastAsia="Arial" w:hAnsi="Arial"/>
                <w:sz w:val="13"/>
                <w:szCs w:val="13"/>
                <w:b w:val="1"/>
                <w:bCs w:val="1"/>
                <w:color w:val="auto"/>
                <w:w w:val="93"/>
              </w:rPr>
              <w:t>Title of Each Class</w:t>
            </w:r>
          </w:p>
        </w:tc>
        <w:tc>
          <w:tcPr>
            <w:tcW w:w="2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Amount to be</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Proposed Maximum</w:t>
            </w: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Proposed Maximum</w:t>
            </w:r>
          </w:p>
        </w:tc>
        <w:tc>
          <w:tcPr>
            <w:tcW w:w="2000" w:type="dxa"/>
            <w:vAlign w:val="bottom"/>
            <w:tcBorders>
              <w:top w:val="single" w:sz="8" w:color="auto"/>
            </w:tcBorders>
          </w:tcPr>
          <w:p>
            <w:pPr>
              <w:jc w:val="center"/>
              <w:ind w:left="28"/>
              <w:spacing w:after="0"/>
              <w:rPr>
                <w:sz w:val="20"/>
                <w:szCs w:val="20"/>
                <w:color w:val="auto"/>
              </w:rPr>
            </w:pPr>
            <w:r>
              <w:rPr>
                <w:rFonts w:ascii="Arial" w:cs="Arial" w:eastAsia="Arial" w:hAnsi="Arial"/>
                <w:sz w:val="13"/>
                <w:szCs w:val="13"/>
                <w:b w:val="1"/>
                <w:bCs w:val="1"/>
                <w:color w:val="auto"/>
                <w:w w:val="95"/>
              </w:rPr>
              <w:t>Amount of</w:t>
            </w:r>
          </w:p>
        </w:tc>
        <w:tc>
          <w:tcPr>
            <w:tcW w:w="0" w:type="dxa"/>
            <w:vAlign w:val="bottom"/>
          </w:tcPr>
          <w:p>
            <w:pPr>
              <w:spacing w:after="0"/>
              <w:rPr>
                <w:sz w:val="1"/>
                <w:szCs w:val="1"/>
                <w:color w:val="auto"/>
              </w:rPr>
            </w:pPr>
          </w:p>
        </w:tc>
      </w:tr>
      <w:tr>
        <w:trPr>
          <w:trHeight w:val="139"/>
        </w:trPr>
        <w:tc>
          <w:tcPr>
            <w:tcW w:w="2540" w:type="dxa"/>
            <w:vAlign w:val="bottom"/>
            <w:tcBorders>
              <w:right w:val="single" w:sz="8" w:color="auto"/>
            </w:tcBorders>
          </w:tcPr>
          <w:p>
            <w:pPr>
              <w:jc w:val="center"/>
              <w:ind w:right="46"/>
              <w:spacing w:after="0" w:line="139" w:lineRule="exact"/>
              <w:rPr>
                <w:sz w:val="20"/>
                <w:szCs w:val="20"/>
                <w:color w:val="auto"/>
              </w:rPr>
            </w:pPr>
            <w:r>
              <w:rPr>
                <w:rFonts w:ascii="Arial" w:cs="Arial" w:eastAsia="Arial" w:hAnsi="Arial"/>
                <w:sz w:val="13"/>
                <w:szCs w:val="13"/>
                <w:b w:val="1"/>
                <w:bCs w:val="1"/>
                <w:color w:val="auto"/>
                <w:w w:val="90"/>
              </w:rPr>
              <w:t>of Securities to be</w:t>
            </w:r>
          </w:p>
        </w:tc>
        <w:tc>
          <w:tcPr>
            <w:tcW w:w="27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5"/>
              </w:rPr>
              <w:t>Offering Price</w:t>
            </w:r>
          </w:p>
        </w:tc>
        <w:tc>
          <w:tcPr>
            <w:tcW w:w="258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92"/>
              </w:rPr>
              <w:t>Aggregate Offering</w:t>
            </w:r>
          </w:p>
        </w:tc>
        <w:tc>
          <w:tcPr>
            <w:tcW w:w="2000" w:type="dxa"/>
            <w:vAlign w:val="bottom"/>
          </w:tcPr>
          <w:p>
            <w:pPr>
              <w:jc w:val="center"/>
              <w:ind w:left="28"/>
              <w:spacing w:after="0" w:line="139" w:lineRule="exact"/>
              <w:rPr>
                <w:sz w:val="20"/>
                <w:szCs w:val="20"/>
                <w:color w:val="auto"/>
              </w:rPr>
            </w:pPr>
            <w:r>
              <w:rPr>
                <w:rFonts w:ascii="Arial" w:cs="Arial" w:eastAsia="Arial" w:hAnsi="Arial"/>
                <w:sz w:val="13"/>
                <w:szCs w:val="13"/>
                <w:b w:val="1"/>
                <w:bCs w:val="1"/>
                <w:color w:val="auto"/>
                <w:w w:val="92"/>
              </w:rPr>
              <w:t>Registration</w:t>
            </w:r>
          </w:p>
        </w:tc>
        <w:tc>
          <w:tcPr>
            <w:tcW w:w="0" w:type="dxa"/>
            <w:vAlign w:val="bottom"/>
          </w:tcPr>
          <w:p>
            <w:pPr>
              <w:spacing w:after="0"/>
              <w:rPr>
                <w:sz w:val="1"/>
                <w:szCs w:val="1"/>
                <w:color w:val="auto"/>
              </w:rPr>
            </w:pPr>
          </w:p>
        </w:tc>
      </w:tr>
      <w:tr>
        <w:trPr>
          <w:trHeight w:val="159"/>
        </w:trPr>
        <w:tc>
          <w:tcPr>
            <w:tcW w:w="2540" w:type="dxa"/>
            <w:vAlign w:val="bottom"/>
            <w:tcBorders>
              <w:bottom w:val="single" w:sz="8" w:color="auto"/>
              <w:right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2"/>
              </w:rPr>
              <w:t>Registered</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Registered (1)(2)</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Per Share (3)</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Price (3)</w:t>
            </w:r>
          </w:p>
        </w:tc>
        <w:tc>
          <w:tcPr>
            <w:tcW w:w="2000" w:type="dxa"/>
            <w:vAlign w:val="bottom"/>
            <w:tcBorders>
              <w:bottom w:val="single" w:sz="8" w:color="auto"/>
            </w:tcBorders>
          </w:tcPr>
          <w:p>
            <w:pPr>
              <w:jc w:val="center"/>
              <w:ind w:left="8"/>
              <w:spacing w:after="0"/>
              <w:rPr>
                <w:sz w:val="20"/>
                <w:szCs w:val="20"/>
                <w:color w:val="auto"/>
              </w:rPr>
            </w:pPr>
            <w:r>
              <w:rPr>
                <w:rFonts w:ascii="Arial" w:cs="Arial" w:eastAsia="Arial" w:hAnsi="Arial"/>
                <w:sz w:val="13"/>
                <w:szCs w:val="13"/>
                <w:b w:val="1"/>
                <w:bCs w:val="1"/>
                <w:color w:val="auto"/>
                <w:w w:val="89"/>
              </w:rPr>
              <w:t>Fee</w:t>
            </w:r>
          </w:p>
        </w:tc>
        <w:tc>
          <w:tcPr>
            <w:tcW w:w="0" w:type="dxa"/>
            <w:vAlign w:val="bottom"/>
          </w:tcPr>
          <w:p>
            <w:pPr>
              <w:spacing w:after="0"/>
              <w:rPr>
                <w:sz w:val="1"/>
                <w:szCs w:val="1"/>
                <w:color w:val="auto"/>
              </w:rPr>
            </w:pPr>
          </w:p>
        </w:tc>
      </w:tr>
      <w:tr>
        <w:trPr>
          <w:trHeight w:val="182"/>
        </w:trPr>
        <w:tc>
          <w:tcPr>
            <w:tcW w:w="254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7"/>
                <w:szCs w:val="17"/>
                <w:color w:val="auto"/>
              </w:rPr>
              <w:t>Common Stock — $.01 Par</w:t>
            </w:r>
          </w:p>
        </w:tc>
        <w:tc>
          <w:tcPr>
            <w:tcW w:w="27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86"/>
              </w:rPr>
              <w:t>16,976,400 Shares</w:t>
            </w:r>
          </w:p>
        </w:tc>
        <w:tc>
          <w:tcPr>
            <w:tcW w:w="16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7"/>
                <w:szCs w:val="17"/>
                <w:color w:val="auto"/>
                <w:w w:val="92"/>
              </w:rPr>
              <w:t>$1.475</w:t>
            </w:r>
          </w:p>
        </w:tc>
        <w:tc>
          <w:tcPr>
            <w:tcW w:w="2580" w:type="dxa"/>
            <w:vAlign w:val="bottom"/>
            <w:tcBorders>
              <w:right w:val="single" w:sz="8" w:color="auto"/>
            </w:tcBorders>
          </w:tcPr>
          <w:p>
            <w:pPr>
              <w:jc w:val="right"/>
              <w:ind w:right="848"/>
              <w:spacing w:after="0" w:line="182" w:lineRule="exact"/>
              <w:rPr>
                <w:sz w:val="20"/>
                <w:szCs w:val="20"/>
                <w:color w:val="auto"/>
              </w:rPr>
            </w:pPr>
            <w:r>
              <w:rPr>
                <w:rFonts w:ascii="Arial" w:cs="Arial" w:eastAsia="Arial" w:hAnsi="Arial"/>
                <w:sz w:val="17"/>
                <w:szCs w:val="17"/>
                <w:color w:val="auto"/>
              </w:rPr>
              <w:t>$25,040,190</w:t>
            </w:r>
          </w:p>
        </w:tc>
        <w:tc>
          <w:tcPr>
            <w:tcW w:w="2000" w:type="dxa"/>
            <w:vAlign w:val="bottom"/>
          </w:tcPr>
          <w:p>
            <w:pPr>
              <w:jc w:val="center"/>
              <w:ind w:left="28"/>
              <w:spacing w:after="0" w:line="182" w:lineRule="exact"/>
              <w:rPr>
                <w:sz w:val="20"/>
                <w:szCs w:val="20"/>
                <w:color w:val="auto"/>
              </w:rPr>
            </w:pPr>
            <w:r>
              <w:rPr>
                <w:rFonts w:ascii="Arial" w:cs="Arial" w:eastAsia="Arial" w:hAnsi="Arial"/>
                <w:sz w:val="17"/>
                <w:szCs w:val="17"/>
                <w:color w:val="auto"/>
                <w:w w:val="87"/>
              </w:rPr>
              <w:t>$3,172.59</w:t>
            </w:r>
          </w:p>
        </w:tc>
        <w:tc>
          <w:tcPr>
            <w:tcW w:w="0" w:type="dxa"/>
            <w:vAlign w:val="bottom"/>
          </w:tcPr>
          <w:p>
            <w:pPr>
              <w:spacing w:after="0"/>
              <w:rPr>
                <w:sz w:val="1"/>
                <w:szCs w:val="1"/>
                <w:color w:val="auto"/>
              </w:rPr>
            </w:pPr>
          </w:p>
        </w:tc>
      </w:tr>
      <w:tr>
        <w:trPr>
          <w:trHeight w:val="233"/>
        </w:trPr>
        <w:tc>
          <w:tcPr>
            <w:tcW w:w="2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Value</w:t>
            </w:r>
          </w:p>
        </w:tc>
        <w:tc>
          <w:tcPr>
            <w:tcW w:w="27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right="20" w:hanging="313"/>
        <w:spacing w:after="0" w:line="276" w:lineRule="auto"/>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Shares of common stock which may be offered pursuant to this registration statement include 13,160,000 shares sold by StemCells on June 17, 2004 to various purchasers in a private placement under the terms of a securities purchase agreement dated as of June 16, 2004, and 3,290,000 shares of common stock that may be issued by StemCells under warrants issued to the purchasers in the private placement. In addition, 526,400 shares of common stock that may be issued by StemCells under a warrant issued to the agent in the private placement are being registered hereunder.</w:t>
      </w:r>
    </w:p>
    <w:p>
      <w:pPr>
        <w:spacing w:after="0" w:line="164" w:lineRule="exact"/>
        <w:rPr>
          <w:rFonts w:ascii="Arial" w:cs="Arial" w:eastAsia="Arial" w:hAnsi="Arial"/>
          <w:sz w:val="16"/>
          <w:szCs w:val="16"/>
          <w:color w:val="auto"/>
        </w:rPr>
      </w:pPr>
    </w:p>
    <w:p>
      <w:pPr>
        <w:ind w:left="320" w:right="80" w:hanging="313"/>
        <w:spacing w:after="0" w:line="259" w:lineRule="auto"/>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the event of a stock split, stock dividend or similar transaction involving the common stock of the registrant, in order to prevent dilution, the number of shares of common stock registered hereby shall be automatically adjusted to cover the additional shares of common stock in accordance with Rule 416 under the Securities Act of 1933, as amended.</w:t>
      </w:r>
    </w:p>
    <w:p>
      <w:pPr>
        <w:spacing w:after="0" w:line="176" w:lineRule="exact"/>
        <w:rPr>
          <w:rFonts w:ascii="Arial" w:cs="Arial" w:eastAsia="Arial" w:hAnsi="Arial"/>
          <w:sz w:val="17"/>
          <w:szCs w:val="17"/>
          <w:color w:val="auto"/>
        </w:rPr>
      </w:pPr>
    </w:p>
    <w:p>
      <w:pPr>
        <w:ind w:left="320" w:right="100" w:hanging="313"/>
        <w:spacing w:after="0" w:line="271" w:lineRule="auto"/>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determining the registration fee in accordance with Rule 457(c) under the Securities Act of 1933. The maximum price per share information is based on the average of the high and the low sale price on July 8, 2004.</w:t>
      </w:r>
    </w:p>
    <w:p>
      <w:pPr>
        <w:spacing w:after="0" w:line="165" w:lineRule="exact"/>
        <w:rPr>
          <w:sz w:val="20"/>
          <w:szCs w:val="20"/>
          <w:color w:val="auto"/>
        </w:rPr>
      </w:pPr>
    </w:p>
    <w:p>
      <w:pPr>
        <w:ind w:right="180" w:firstLine="207"/>
        <w:spacing w:after="0" w:line="254" w:lineRule="auto"/>
        <w:rPr>
          <w:sz w:val="20"/>
          <w:szCs w:val="20"/>
          <w:color w:val="auto"/>
        </w:rPr>
      </w:pPr>
      <w:r>
        <w:rPr>
          <w:rFonts w:ascii="Arial" w:cs="Arial" w:eastAsia="Arial" w:hAnsi="Arial"/>
          <w:sz w:val="17"/>
          <w:szCs w:val="17"/>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725995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955" cy="368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488315</wp:posOffset>
            </wp:positionV>
            <wp:extent cx="725995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188595</wp:posOffset>
            </wp:positionV>
            <wp:extent cx="7259955" cy="518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955" cy="518160"/>
                    </a:xfrm>
                    <a:prstGeom prst="rect">
                      <a:avLst/>
                    </a:prstGeom>
                    <a:noFill/>
                  </pic:spPr>
                </pic:pic>
              </a:graphicData>
            </a:graphic>
          </wp:anchor>
        </w:drawing>
      </w:r>
    </w:p>
    <w:p>
      <w:pPr>
        <w:spacing w:after="0" w:line="365" w:lineRule="exact"/>
        <w:rPr>
          <w:sz w:val="20"/>
          <w:szCs w:val="20"/>
          <w:color w:val="auto"/>
        </w:rPr>
      </w:pPr>
    </w:p>
    <w:p>
      <w:pPr>
        <w:jc w:val="both"/>
        <w:ind w:left="100" w:right="120"/>
        <w:spacing w:after="0" w:line="262" w:lineRule="auto"/>
        <w:rPr>
          <w:sz w:val="20"/>
          <w:szCs w:val="20"/>
          <w:color w:val="auto"/>
        </w:rPr>
      </w:pPr>
      <w:r>
        <w:rPr>
          <w:rFonts w:ascii="Arial" w:cs="Arial" w:eastAsia="Arial" w:hAnsi="Arial"/>
          <w:sz w:val="17"/>
          <w:szCs w:val="17"/>
          <w:b w:val="1"/>
          <w:bCs w:val="1"/>
          <w:color w:val="FF0000"/>
        </w:rPr>
        <w:t>Information contained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ectPr>
          <w:pgSz w:w="11900" w:h="16838" w:orient="portrait"/>
          <w:cols w:equalWidth="0" w:num="1">
            <w:col w:w="11420"/>
          </w:cols>
          <w:pgMar w:left="240" w:top="402"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auto"/>
        </w:rPr>
        <w:t>PROSPECTUS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SUBJECT TO COMPLETION</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July 14, 2004</w:t>
      </w:r>
    </w:p>
    <w:p>
      <w:pPr>
        <w:spacing w:after="0" w:line="200" w:lineRule="exact"/>
        <w:rPr>
          <w:sz w:val="20"/>
          <w:szCs w:val="20"/>
          <w:color w:val="auto"/>
        </w:rPr>
      </w:pPr>
    </w:p>
    <w:p>
      <w:pPr>
        <w:sectPr>
          <w:pgSz w:w="11900" w:h="16838" w:orient="portrait"/>
          <w:cols w:equalWidth="0" w:num="2">
            <w:col w:w="8600" w:space="720"/>
            <w:col w:w="2100"/>
          </w:cols>
          <w:pgMar w:left="240" w:top="402" w:right="239" w:bottom="1440" w:gutter="0" w:footer="0" w:header="0"/>
          <w:type w:val="continuous"/>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STEMCELLS, INC.</w:t>
      </w:r>
    </w:p>
    <w:p>
      <w:pPr>
        <w:spacing w:after="0" w:line="200" w:lineRule="exact"/>
        <w:rPr>
          <w:sz w:val="20"/>
          <w:szCs w:val="20"/>
          <w:color w:val="auto"/>
        </w:rPr>
      </w:pPr>
    </w:p>
    <w:p>
      <w:pPr>
        <w:spacing w:after="0" w:line="240"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COMMON STOCK</w:t>
      </w:r>
    </w:p>
    <w:p>
      <w:pPr>
        <w:spacing w:after="0" w:line="19"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16,976,400 SHARES</w:t>
      </w:r>
    </w:p>
    <w:p>
      <w:pPr>
        <w:spacing w:after="0" w:line="159" w:lineRule="exact"/>
        <w:rPr>
          <w:sz w:val="20"/>
          <w:szCs w:val="20"/>
          <w:color w:val="auto"/>
        </w:rPr>
      </w:pPr>
    </w:p>
    <w:p>
      <w:pPr>
        <w:ind w:right="60" w:firstLine="210"/>
        <w:spacing w:after="0" w:line="273" w:lineRule="auto"/>
        <w:rPr>
          <w:sz w:val="20"/>
          <w:szCs w:val="20"/>
          <w:color w:val="auto"/>
        </w:rPr>
      </w:pPr>
      <w:r>
        <w:rPr>
          <w:rFonts w:ascii="Arial" w:cs="Arial" w:eastAsia="Arial" w:hAnsi="Arial"/>
          <w:sz w:val="16"/>
          <w:szCs w:val="16"/>
          <w:color w:val="auto"/>
        </w:rPr>
        <w:t>StemCells, Inc. (“StemCells” or the “Company”) issued 13,160,000 shares of common stock and warrants to purchase up to 3,290,000 shares of common stock to various purchasers in a private placement on June 17, 2004 under the terms of a securities purchase agreement dated as of June 16, 2004, and a warrant to purchase 526,400 shares of common stock to the agent in connection therewith. This prospectus will be used by the selling stockholders listed on pages 9 and 10 to resell, from time to time, their common stock and by such stockholders and the agent to resell the common stock issuable upon exercise of their warrants. We will not receive any of the proceeds from any sale of the common stock offered pursuant to this prospectus.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Before purchasing shares of common stock you should carefully review the Risk Factors section of this Prospectus which begins on page 1.</w:t>
      </w:r>
    </w:p>
    <w:p>
      <w:pPr>
        <w:spacing w:after="0" w:line="199" w:lineRule="exact"/>
        <w:rPr>
          <w:sz w:val="20"/>
          <w:szCs w:val="20"/>
          <w:color w:val="auto"/>
        </w:rPr>
      </w:pPr>
    </w:p>
    <w:p>
      <w:pPr>
        <w:ind w:right="140" w:firstLine="207"/>
        <w:spacing w:after="0" w:line="271" w:lineRule="auto"/>
        <w:rPr>
          <w:sz w:val="20"/>
          <w:szCs w:val="20"/>
          <w:color w:val="auto"/>
        </w:rPr>
      </w:pPr>
      <w:r>
        <w:rPr>
          <w:rFonts w:ascii="Arial" w:cs="Arial" w:eastAsia="Arial" w:hAnsi="Arial"/>
          <w:sz w:val="17"/>
          <w:szCs w:val="17"/>
          <w:color w:val="auto"/>
        </w:rPr>
        <w:t>The common stock is currently listed on The Nasdaq SmallCap Market with the ticker symbol: “STEM.” On July 8, 2004, the closing price of one share of common stock on The Nasdaq SmallCap Market was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88900</wp:posOffset>
            </wp:positionV>
            <wp:extent cx="1830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280" w:lineRule="exact"/>
        <w:rPr>
          <w:sz w:val="20"/>
          <w:szCs w:val="20"/>
          <w:color w:val="auto"/>
        </w:rPr>
      </w:pPr>
    </w:p>
    <w:p>
      <w:pPr>
        <w:ind w:right="460"/>
        <w:spacing w:after="0" w:line="276"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93980</wp:posOffset>
            </wp:positionV>
            <wp:extent cx="1830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0070" cy="8255"/>
                    </a:xfrm>
                    <a:prstGeom prst="rect">
                      <a:avLst/>
                    </a:prstGeom>
                    <a:noFill/>
                  </pic:spPr>
                </pic:pic>
              </a:graphicData>
            </a:graphic>
          </wp:anchor>
        </w:drawing>
      </w:r>
    </w:p>
    <w:p>
      <w:pPr>
        <w:spacing w:after="0" w:line="293" w:lineRule="exact"/>
        <w:rPr>
          <w:sz w:val="20"/>
          <w:szCs w:val="20"/>
          <w:color w:val="auto"/>
        </w:rPr>
      </w:pPr>
    </w:p>
    <w:tbl>
      <w:tblPr>
        <w:tblLayout w:type="fixed"/>
        <w:tblInd w:w="4100" w:type="dxa"/>
        <w:tblCellMar>
          <w:top w:w="0" w:type="dxa"/>
          <w:left w:w="0" w:type="dxa"/>
          <w:bottom w:w="0" w:type="dxa"/>
          <w:right w:w="0" w:type="dxa"/>
        </w:tblCellMar>
      </w:tblPr>
      <w:tr>
        <w:trPr>
          <w:trHeight w:val="214"/>
        </w:trPr>
        <w:tc>
          <w:tcPr>
            <w:tcW w:w="2380" w:type="dxa"/>
            <w:vAlign w:val="bottom"/>
          </w:tcPr>
          <w:p>
            <w:pPr>
              <w:spacing w:after="0"/>
              <w:rPr>
                <w:sz w:val="20"/>
                <w:szCs w:val="20"/>
                <w:color w:val="auto"/>
              </w:rPr>
            </w:pPr>
            <w:r>
              <w:rPr>
                <w:rFonts w:ascii="Arial" w:cs="Arial" w:eastAsia="Arial" w:hAnsi="Arial"/>
                <w:sz w:val="17"/>
                <w:szCs w:val="17"/>
                <w:color w:val="auto"/>
              </w:rPr>
              <w:t>The date of this Prospectus is</w:t>
            </w:r>
          </w:p>
        </w:tc>
        <w:tc>
          <w:tcPr>
            <w:tcW w:w="860" w:type="dxa"/>
            <w:vAlign w:val="bottom"/>
          </w:tcPr>
          <w:p>
            <w:pPr>
              <w:jc w:val="right"/>
              <w:spacing w:after="0"/>
              <w:rPr>
                <w:sz w:val="20"/>
                <w:szCs w:val="20"/>
                <w:color w:val="auto"/>
              </w:rPr>
            </w:pPr>
            <w:r>
              <w:rPr>
                <w:rFonts w:ascii="Arial" w:cs="Arial" w:eastAsia="Arial" w:hAnsi="Arial"/>
                <w:sz w:val="17"/>
                <w:szCs w:val="17"/>
                <w:color w:val="auto"/>
              </w:rPr>
              <w:t>, 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359410</wp:posOffset>
            </wp:positionV>
            <wp:extent cx="725995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60" w:firstLine="210"/>
        <w:spacing w:after="0" w:line="257" w:lineRule="auto"/>
        <w:rPr>
          <w:sz w:val="20"/>
          <w:szCs w:val="20"/>
          <w:color w:val="auto"/>
        </w:rPr>
      </w:pPr>
      <w:r>
        <w:rPr>
          <w:rFonts w:ascii="Arial" w:cs="Arial" w:eastAsia="Arial" w:hAnsi="Arial"/>
          <w:sz w:val="17"/>
          <w:szCs w:val="17"/>
          <w:b w:val="1"/>
          <w:bCs w:val="1"/>
          <w:color w:val="auto"/>
        </w:rPr>
        <w:t>You should rely only on the information contained or incorporated by reference in this prospectus. We have not authorized anyone to provide you with different information. This prospectus may only be used where it is legal to sell these securities. You should not assume that the information contained in this prospectus is accurate as of any date other than the date on the front of this prospectus. Our business, financial condition, results of operations and prospects may have changed since that date.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40" w:type="dxa"/>
            <w:vAlign w:val="bottom"/>
            <w:gridSpan w:val="2"/>
          </w:tcPr>
          <w:p>
            <w:pPr>
              <w:ind w:left="300"/>
              <w:spacing w:after="0"/>
              <w:rPr>
                <w:sz w:val="20"/>
                <w:szCs w:val="20"/>
                <w:color w:val="auto"/>
              </w:rPr>
            </w:pPr>
            <w:r>
              <w:rPr>
                <w:rFonts w:ascii="Arial" w:cs="Arial" w:eastAsia="Arial" w:hAnsi="Arial"/>
                <w:sz w:val="17"/>
                <w:szCs w:val="17"/>
                <w:b w:val="1"/>
                <w:bCs w:val="1"/>
                <w:color w:val="auto"/>
              </w:rPr>
              <w:t>TABLE OF CONTENTS</w:t>
            </w:r>
          </w:p>
        </w:tc>
        <w:tc>
          <w:tcPr>
            <w:tcW w:w="2560" w:type="dxa"/>
            <w:vAlign w:val="bottom"/>
          </w:tcPr>
          <w:p>
            <w:pPr>
              <w:spacing w:after="0"/>
              <w:rPr>
                <w:sz w:val="18"/>
                <w:szCs w:val="18"/>
                <w:color w:val="auto"/>
              </w:rPr>
            </w:pPr>
          </w:p>
        </w:tc>
      </w:tr>
      <w:tr>
        <w:trPr>
          <w:trHeight w:val="367"/>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560" w:type="dxa"/>
            <w:vAlign w:val="bottom"/>
          </w:tcPr>
          <w:p>
            <w:pPr>
              <w:ind w:left="2240"/>
              <w:spacing w:after="0"/>
              <w:rPr>
                <w:sz w:val="20"/>
                <w:szCs w:val="20"/>
                <w:color w:val="auto"/>
              </w:rPr>
            </w:pPr>
            <w:r>
              <w:rPr>
                <w:rFonts w:ascii="Arial" w:cs="Arial" w:eastAsia="Arial" w:hAnsi="Arial"/>
                <w:sz w:val="17"/>
                <w:szCs w:val="17"/>
                <w:color w:val="auto"/>
                <w:w w:val="75"/>
              </w:rPr>
              <w:t>Page</w:t>
            </w:r>
          </w:p>
        </w:tc>
      </w:tr>
      <w:tr>
        <w:trPr>
          <w:trHeight w:val="531"/>
        </w:trPr>
        <w:tc>
          <w:tcPr>
            <w:tcW w:w="900" w:type="dxa"/>
            <w:vAlign w:val="bottom"/>
            <w:tcBorders>
              <w:bottom w:val="single" w:sz="8" w:color="0000EE"/>
            </w:tcBorders>
            <w:gridSpan w:val="3"/>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SUMMARY</w:t>
              </w:r>
            </w:hyperlink>
          </w:p>
        </w:tc>
        <w:tc>
          <w:tcPr>
            <w:tcW w:w="7960" w:type="dxa"/>
            <w:vAlign w:val="bottom"/>
            <w:gridSpan w:val="12"/>
          </w:tcPr>
          <w:p>
            <w:pPr>
              <w:spacing w:after="0"/>
              <w:rPr>
                <w:sz w:val="24"/>
                <w:szCs w:val="24"/>
                <w:color w:val="auto"/>
              </w:rPr>
            </w:pPr>
          </w:p>
        </w:tc>
        <w:tc>
          <w:tcPr>
            <w:tcW w:w="2560" w:type="dxa"/>
            <w:vAlign w:val="bottom"/>
          </w:tcPr>
          <w:p>
            <w:pPr>
              <w:jc w:val="right"/>
              <w:ind w:right="16"/>
              <w:spacing w:after="0"/>
              <w:rPr>
                <w:sz w:val="20"/>
                <w:szCs w:val="20"/>
                <w:color w:val="auto"/>
              </w:rPr>
            </w:pPr>
            <w:r>
              <w:rPr>
                <w:rFonts w:ascii="Arial" w:cs="Arial" w:eastAsia="Arial" w:hAnsi="Arial"/>
                <w:sz w:val="17"/>
                <w:szCs w:val="17"/>
                <w:color w:val="auto"/>
              </w:rPr>
              <w:t>1</w:t>
            </w:r>
          </w:p>
        </w:tc>
      </w:tr>
      <w:tr>
        <w:trPr>
          <w:trHeight w:val="182"/>
        </w:trPr>
        <w:tc>
          <w:tcPr>
            <w:tcW w:w="8860" w:type="dxa"/>
            <w:vAlign w:val="bottom"/>
            <w:gridSpan w:val="15"/>
          </w:tcPr>
          <w:p>
            <w:pPr>
              <w:spacing w:after="0" w:line="182" w:lineRule="exact"/>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RISK FACTORS</w:t>
              </w:r>
            </w:hyperlink>
          </w:p>
        </w:tc>
        <w:tc>
          <w:tcPr>
            <w:tcW w:w="2560" w:type="dxa"/>
            <w:vAlign w:val="bottom"/>
          </w:tcPr>
          <w:p>
            <w:pPr>
              <w:jc w:val="right"/>
              <w:ind w:right="16"/>
              <w:spacing w:after="0" w:line="182" w:lineRule="exact"/>
              <w:rPr>
                <w:sz w:val="20"/>
                <w:szCs w:val="20"/>
                <w:color w:val="auto"/>
              </w:rPr>
            </w:pPr>
            <w:r>
              <w:rPr>
                <w:rFonts w:ascii="Arial" w:cs="Arial" w:eastAsia="Arial" w:hAnsi="Arial"/>
                <w:sz w:val="17"/>
                <w:szCs w:val="17"/>
                <w:color w:val="auto"/>
              </w:rPr>
              <w:t>1</w:t>
            </w:r>
          </w:p>
        </w:tc>
      </w:tr>
      <w:tr>
        <w:trPr>
          <w:trHeight w:val="20"/>
        </w:trPr>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82"/>
        </w:trPr>
        <w:tc>
          <w:tcPr>
            <w:tcW w:w="8860" w:type="dxa"/>
            <w:vAlign w:val="bottom"/>
            <w:gridSpan w:val="15"/>
          </w:tcPr>
          <w:p>
            <w:pPr>
              <w:spacing w:after="0" w:line="182"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NOTE REGARDING FORWARD-LOOKING STATEMENTS</w:t>
              </w:r>
            </w:hyperlink>
          </w:p>
        </w:tc>
        <w:tc>
          <w:tcPr>
            <w:tcW w:w="2560" w:type="dxa"/>
            <w:vAlign w:val="bottom"/>
          </w:tcPr>
          <w:p>
            <w:pPr>
              <w:jc w:val="right"/>
              <w:ind w:right="16"/>
              <w:spacing w:after="0" w:line="182" w:lineRule="exact"/>
              <w:rPr>
                <w:sz w:val="20"/>
                <w:szCs w:val="20"/>
                <w:color w:val="auto"/>
              </w:rPr>
            </w:pPr>
            <w:r>
              <w:rPr>
                <w:rFonts w:ascii="Arial" w:cs="Arial" w:eastAsia="Arial" w:hAnsi="Arial"/>
                <w:sz w:val="17"/>
                <w:szCs w:val="17"/>
                <w:color w:val="auto"/>
              </w:rPr>
              <w:t>8</w:t>
            </w:r>
          </w:p>
        </w:tc>
      </w:tr>
      <w:tr>
        <w:trPr>
          <w:trHeight w:val="182"/>
        </w:trPr>
        <w:tc>
          <w:tcPr>
            <w:tcW w:w="4520" w:type="dxa"/>
            <w:vAlign w:val="bottom"/>
            <w:tcBorders>
              <w:top w:val="single" w:sz="8" w:color="0000EE"/>
            </w:tcBorders>
            <w:gridSpan w:val="13"/>
          </w:tcPr>
          <w:p>
            <w:pPr>
              <w:spacing w:after="0" w:line="182"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USE OF PROCEEDS</w:t>
              </w:r>
            </w:hyperlink>
          </w:p>
        </w:tc>
        <w:tc>
          <w:tcPr>
            <w:tcW w:w="4340" w:type="dxa"/>
            <w:vAlign w:val="bottom"/>
            <w:gridSpan w:val="2"/>
          </w:tcPr>
          <w:p>
            <w:pPr>
              <w:spacing w:after="0"/>
              <w:rPr>
                <w:sz w:val="15"/>
                <w:szCs w:val="15"/>
                <w:color w:val="auto"/>
              </w:rPr>
            </w:pPr>
          </w:p>
        </w:tc>
        <w:tc>
          <w:tcPr>
            <w:tcW w:w="2560" w:type="dxa"/>
            <w:vAlign w:val="bottom"/>
          </w:tcPr>
          <w:p>
            <w:pPr>
              <w:jc w:val="right"/>
              <w:ind w:right="16"/>
              <w:spacing w:after="0" w:line="182" w:lineRule="exact"/>
              <w:rPr>
                <w:sz w:val="20"/>
                <w:szCs w:val="20"/>
                <w:color w:val="auto"/>
              </w:rPr>
            </w:pPr>
            <w:r>
              <w:rPr>
                <w:rFonts w:ascii="Arial" w:cs="Arial" w:eastAsia="Arial" w:hAnsi="Arial"/>
                <w:sz w:val="17"/>
                <w:szCs w:val="17"/>
                <w:color w:val="auto"/>
              </w:rPr>
              <w:t>8</w:t>
            </w:r>
          </w:p>
        </w:tc>
      </w:tr>
      <w:tr>
        <w:trPr>
          <w:trHeight w:val="20"/>
        </w:trPr>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82"/>
        </w:trPr>
        <w:tc>
          <w:tcPr>
            <w:tcW w:w="8860" w:type="dxa"/>
            <w:vAlign w:val="bottom"/>
            <w:gridSpan w:val="15"/>
          </w:tcPr>
          <w:p>
            <w:pPr>
              <w:spacing w:after="0" w:line="182"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SELLING STOCKHOLDERS</w:t>
              </w:r>
            </w:hyperlink>
          </w:p>
        </w:tc>
        <w:tc>
          <w:tcPr>
            <w:tcW w:w="2560" w:type="dxa"/>
            <w:vAlign w:val="bottom"/>
          </w:tcPr>
          <w:p>
            <w:pPr>
              <w:jc w:val="right"/>
              <w:ind w:right="16"/>
              <w:spacing w:after="0" w:line="182" w:lineRule="exact"/>
              <w:rPr>
                <w:sz w:val="20"/>
                <w:szCs w:val="20"/>
                <w:color w:val="auto"/>
              </w:rPr>
            </w:pPr>
            <w:r>
              <w:rPr>
                <w:rFonts w:ascii="Arial" w:cs="Arial" w:eastAsia="Arial" w:hAnsi="Arial"/>
                <w:sz w:val="17"/>
                <w:szCs w:val="17"/>
                <w:color w:val="auto"/>
              </w:rPr>
              <w:t>8</w:t>
            </w:r>
          </w:p>
        </w:tc>
      </w:tr>
      <w:tr>
        <w:trPr>
          <w:trHeight w:val="182"/>
        </w:trPr>
        <w:tc>
          <w:tcPr>
            <w:tcW w:w="2200" w:type="dxa"/>
            <w:vAlign w:val="bottom"/>
            <w:tcBorders>
              <w:top w:val="single" w:sz="8" w:color="0000EE"/>
            </w:tcBorders>
            <w:gridSpan w:val="11"/>
          </w:tcPr>
          <w:p>
            <w:pPr>
              <w:spacing w:after="0" w:line="182" w:lineRule="exact"/>
              <w:rPr>
                <w:rFonts w:ascii="Arial" w:cs="Arial" w:eastAsia="Arial" w:hAnsi="Arial"/>
                <w:sz w:val="17"/>
                <w:szCs w:val="17"/>
                <w:b w:val="1"/>
                <w:bCs w:val="1"/>
                <w:color w:val="0000EE"/>
              </w:rPr>
            </w:pPr>
            <w:hyperlink w:anchor="page18">
              <w:r>
                <w:rPr>
                  <w:rFonts w:ascii="Arial" w:cs="Arial" w:eastAsia="Arial" w:hAnsi="Arial"/>
                  <w:sz w:val="17"/>
                  <w:szCs w:val="17"/>
                  <w:b w:val="1"/>
                  <w:bCs w:val="1"/>
                  <w:color w:val="0000EE"/>
                </w:rPr>
                <w:t>PLAN OF DISTRIBUTION</w:t>
              </w:r>
            </w:hyperlink>
          </w:p>
        </w:tc>
        <w:tc>
          <w:tcPr>
            <w:tcW w:w="6660" w:type="dxa"/>
            <w:vAlign w:val="bottom"/>
            <w:gridSpan w:val="4"/>
          </w:tcPr>
          <w:p>
            <w:pPr>
              <w:spacing w:after="0"/>
              <w:rPr>
                <w:sz w:val="15"/>
                <w:szCs w:val="15"/>
                <w:color w:val="auto"/>
              </w:rPr>
            </w:pPr>
          </w:p>
        </w:tc>
        <w:tc>
          <w:tcPr>
            <w:tcW w:w="2560" w:type="dxa"/>
            <w:vAlign w:val="bottom"/>
          </w:tcPr>
          <w:p>
            <w:pPr>
              <w:jc w:val="right"/>
              <w:ind w:right="16"/>
              <w:spacing w:after="0" w:line="182" w:lineRule="exact"/>
              <w:rPr>
                <w:sz w:val="20"/>
                <w:szCs w:val="20"/>
                <w:color w:val="auto"/>
              </w:rPr>
            </w:pPr>
            <w:r>
              <w:rPr>
                <w:rFonts w:ascii="Arial" w:cs="Arial" w:eastAsia="Arial" w:hAnsi="Arial"/>
                <w:sz w:val="17"/>
                <w:szCs w:val="17"/>
                <w:color w:val="auto"/>
              </w:rPr>
              <w:t>14</w:t>
            </w:r>
          </w:p>
        </w:tc>
      </w:tr>
      <w:tr>
        <w:trPr>
          <w:trHeight w:val="20"/>
        </w:trPr>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82"/>
        </w:trPr>
        <w:tc>
          <w:tcPr>
            <w:tcW w:w="3780" w:type="dxa"/>
            <w:vAlign w:val="bottom"/>
            <w:tcBorders>
              <w:bottom w:val="single" w:sz="8" w:color="0000EE"/>
            </w:tcBorders>
            <w:gridSpan w:val="12"/>
          </w:tcPr>
          <w:p>
            <w:pPr>
              <w:spacing w:after="0" w:line="182" w:lineRule="exact"/>
              <w:rPr>
                <w:rFonts w:ascii="Arial" w:cs="Arial" w:eastAsia="Arial" w:hAnsi="Arial"/>
                <w:sz w:val="17"/>
                <w:szCs w:val="17"/>
                <w:b w:val="1"/>
                <w:bCs w:val="1"/>
                <w:color w:val="0000EE"/>
              </w:rPr>
            </w:pPr>
            <w:hyperlink w:anchor="page19">
              <w:r>
                <w:rPr>
                  <w:rFonts w:ascii="Arial" w:cs="Arial" w:eastAsia="Arial" w:hAnsi="Arial"/>
                  <w:sz w:val="17"/>
                  <w:szCs w:val="17"/>
                  <w:b w:val="1"/>
                  <w:bCs w:val="1"/>
                  <w:color w:val="0000EE"/>
                </w:rPr>
                <w:t>WHERE YOU CAN FIND MORE INFORMATION</w:t>
              </w:r>
            </w:hyperlink>
          </w:p>
        </w:tc>
        <w:tc>
          <w:tcPr>
            <w:tcW w:w="5080" w:type="dxa"/>
            <w:vAlign w:val="bottom"/>
            <w:gridSpan w:val="3"/>
          </w:tcPr>
          <w:p>
            <w:pPr>
              <w:spacing w:after="0"/>
              <w:rPr>
                <w:sz w:val="15"/>
                <w:szCs w:val="15"/>
                <w:color w:val="auto"/>
              </w:rPr>
            </w:pPr>
          </w:p>
        </w:tc>
        <w:tc>
          <w:tcPr>
            <w:tcW w:w="2560" w:type="dxa"/>
            <w:vAlign w:val="bottom"/>
          </w:tcPr>
          <w:p>
            <w:pPr>
              <w:jc w:val="right"/>
              <w:ind w:right="16"/>
              <w:spacing w:after="0" w:line="182" w:lineRule="exact"/>
              <w:rPr>
                <w:sz w:val="20"/>
                <w:szCs w:val="20"/>
                <w:color w:val="auto"/>
              </w:rPr>
            </w:pPr>
            <w:r>
              <w:rPr>
                <w:rFonts w:ascii="Arial" w:cs="Arial" w:eastAsia="Arial" w:hAnsi="Arial"/>
                <w:sz w:val="17"/>
                <w:szCs w:val="17"/>
                <w:color w:val="auto"/>
              </w:rPr>
              <w:t>15</w:t>
            </w:r>
          </w:p>
        </w:tc>
      </w:tr>
      <w:tr>
        <w:trPr>
          <w:trHeight w:val="182"/>
        </w:trPr>
        <w:tc>
          <w:tcPr>
            <w:tcW w:w="8860" w:type="dxa"/>
            <w:vAlign w:val="bottom"/>
            <w:gridSpan w:val="15"/>
          </w:tcPr>
          <w:p>
            <w:pPr>
              <w:spacing w:after="0" w:line="182" w:lineRule="exact"/>
              <w:rPr>
                <w:rFonts w:ascii="Arial" w:cs="Arial" w:eastAsia="Arial" w:hAnsi="Arial"/>
                <w:sz w:val="17"/>
                <w:szCs w:val="17"/>
                <w:b w:val="1"/>
                <w:bCs w:val="1"/>
                <w:color w:val="0000EE"/>
              </w:rPr>
            </w:pPr>
            <w:hyperlink w:anchor="page19">
              <w:r>
                <w:rPr>
                  <w:rFonts w:ascii="Arial" w:cs="Arial" w:eastAsia="Arial" w:hAnsi="Arial"/>
                  <w:sz w:val="17"/>
                  <w:szCs w:val="17"/>
                  <w:b w:val="1"/>
                  <w:bCs w:val="1"/>
                  <w:color w:val="0000EE"/>
                </w:rPr>
                <w:t>INCORPORATION OF CERTAIN DOCUMENTS BY REFERENCE</w:t>
              </w:r>
            </w:hyperlink>
          </w:p>
        </w:tc>
        <w:tc>
          <w:tcPr>
            <w:tcW w:w="2560" w:type="dxa"/>
            <w:vAlign w:val="bottom"/>
          </w:tcPr>
          <w:p>
            <w:pPr>
              <w:jc w:val="right"/>
              <w:ind w:right="16"/>
              <w:spacing w:after="0" w:line="182" w:lineRule="exact"/>
              <w:rPr>
                <w:sz w:val="20"/>
                <w:szCs w:val="20"/>
                <w:color w:val="auto"/>
              </w:rPr>
            </w:pPr>
            <w:r>
              <w:rPr>
                <w:rFonts w:ascii="Arial" w:cs="Arial" w:eastAsia="Arial" w:hAnsi="Arial"/>
                <w:sz w:val="17"/>
                <w:szCs w:val="17"/>
                <w:color w:val="auto"/>
              </w:rPr>
              <w:t>15</w:t>
            </w:r>
          </w:p>
        </w:tc>
      </w:tr>
      <w:tr>
        <w:trPr>
          <w:trHeight w:val="182"/>
        </w:trPr>
        <w:tc>
          <w:tcPr>
            <w:tcW w:w="1380" w:type="dxa"/>
            <w:vAlign w:val="bottom"/>
            <w:tcBorders>
              <w:top w:val="single" w:sz="8" w:color="0000EE"/>
              <w:bottom w:val="single" w:sz="8" w:color="0000EE"/>
            </w:tcBorders>
            <w:gridSpan w:val="7"/>
          </w:tcPr>
          <w:p>
            <w:pPr>
              <w:spacing w:after="0" w:line="182" w:lineRule="exact"/>
              <w:rPr>
                <w:rFonts w:ascii="Arial" w:cs="Arial" w:eastAsia="Arial" w:hAnsi="Arial"/>
                <w:sz w:val="17"/>
                <w:szCs w:val="17"/>
                <w:b w:val="1"/>
                <w:bCs w:val="1"/>
                <w:color w:val="0000EE"/>
              </w:rPr>
            </w:pPr>
            <w:hyperlink w:anchor="page20">
              <w:r>
                <w:rPr>
                  <w:rFonts w:ascii="Arial" w:cs="Arial" w:eastAsia="Arial" w:hAnsi="Arial"/>
                  <w:sz w:val="17"/>
                  <w:szCs w:val="17"/>
                  <w:b w:val="1"/>
                  <w:bCs w:val="1"/>
                  <w:color w:val="0000EE"/>
                </w:rPr>
                <w:t>LEGAL OPINION</w:t>
              </w:r>
            </w:hyperlink>
          </w:p>
        </w:tc>
        <w:tc>
          <w:tcPr>
            <w:tcW w:w="3640" w:type="dxa"/>
            <w:vAlign w:val="bottom"/>
            <w:tcBorders>
              <w:top w:val="single" w:sz="8" w:color="0000EE"/>
            </w:tcBorders>
            <w:gridSpan w:val="7"/>
          </w:tcPr>
          <w:p>
            <w:pPr>
              <w:spacing w:after="0"/>
              <w:rPr>
                <w:sz w:val="15"/>
                <w:szCs w:val="15"/>
                <w:color w:val="auto"/>
              </w:rPr>
            </w:pPr>
          </w:p>
        </w:tc>
        <w:tc>
          <w:tcPr>
            <w:tcW w:w="3840" w:type="dxa"/>
            <w:vAlign w:val="bottom"/>
          </w:tcPr>
          <w:p>
            <w:pPr>
              <w:spacing w:after="0"/>
              <w:rPr>
                <w:sz w:val="15"/>
                <w:szCs w:val="15"/>
                <w:color w:val="auto"/>
              </w:rPr>
            </w:pPr>
          </w:p>
        </w:tc>
        <w:tc>
          <w:tcPr>
            <w:tcW w:w="2560" w:type="dxa"/>
            <w:vAlign w:val="bottom"/>
          </w:tcPr>
          <w:p>
            <w:pPr>
              <w:jc w:val="right"/>
              <w:ind w:right="16"/>
              <w:spacing w:after="0" w:line="182" w:lineRule="exact"/>
              <w:rPr>
                <w:sz w:val="20"/>
                <w:szCs w:val="20"/>
                <w:color w:val="auto"/>
              </w:rPr>
            </w:pPr>
            <w:r>
              <w:rPr>
                <w:rFonts w:ascii="Arial" w:cs="Arial" w:eastAsia="Arial" w:hAnsi="Arial"/>
                <w:sz w:val="17"/>
                <w:szCs w:val="17"/>
                <w:color w:val="auto"/>
              </w:rPr>
              <w:t>16</w:t>
            </w:r>
          </w:p>
        </w:tc>
      </w:tr>
      <w:tr>
        <w:trPr>
          <w:trHeight w:val="182"/>
        </w:trPr>
        <w:tc>
          <w:tcPr>
            <w:tcW w:w="780" w:type="dxa"/>
            <w:vAlign w:val="bottom"/>
            <w:tcBorders>
              <w:bottom w:val="single" w:sz="8" w:color="0000EE"/>
            </w:tcBorders>
            <w:gridSpan w:val="2"/>
          </w:tcPr>
          <w:p>
            <w:pPr>
              <w:spacing w:after="0" w:line="182" w:lineRule="exact"/>
              <w:rPr>
                <w:rFonts w:ascii="Arial" w:cs="Arial" w:eastAsia="Arial" w:hAnsi="Arial"/>
                <w:sz w:val="17"/>
                <w:szCs w:val="17"/>
                <w:b w:val="1"/>
                <w:bCs w:val="1"/>
                <w:color w:val="0000EE"/>
                <w:w w:val="95"/>
              </w:rPr>
            </w:pPr>
            <w:hyperlink w:anchor="page20">
              <w:r>
                <w:rPr>
                  <w:rFonts w:ascii="Arial" w:cs="Arial" w:eastAsia="Arial" w:hAnsi="Arial"/>
                  <w:sz w:val="17"/>
                  <w:szCs w:val="17"/>
                  <w:b w:val="1"/>
                  <w:bCs w:val="1"/>
                  <w:color w:val="0000EE"/>
                  <w:w w:val="95"/>
                </w:rPr>
                <w:t>EXPERTS</w:t>
              </w:r>
            </w:hyperlink>
          </w:p>
        </w:tc>
        <w:tc>
          <w:tcPr>
            <w:tcW w:w="8080" w:type="dxa"/>
            <w:vAlign w:val="bottom"/>
            <w:gridSpan w:val="13"/>
          </w:tcPr>
          <w:p>
            <w:pPr>
              <w:spacing w:after="0"/>
              <w:rPr>
                <w:sz w:val="15"/>
                <w:szCs w:val="15"/>
                <w:color w:val="auto"/>
              </w:rPr>
            </w:pPr>
          </w:p>
        </w:tc>
        <w:tc>
          <w:tcPr>
            <w:tcW w:w="2560" w:type="dxa"/>
            <w:vAlign w:val="bottom"/>
          </w:tcPr>
          <w:p>
            <w:pPr>
              <w:jc w:val="right"/>
              <w:ind w:right="16"/>
              <w:spacing w:after="0" w:line="182" w:lineRule="exact"/>
              <w:rPr>
                <w:sz w:val="20"/>
                <w:szCs w:val="20"/>
                <w:color w:val="auto"/>
              </w:rPr>
            </w:pPr>
            <w:r>
              <w:rPr>
                <w:rFonts w:ascii="Arial" w:cs="Arial" w:eastAsia="Arial" w:hAnsi="Arial"/>
                <w:sz w:val="17"/>
                <w:szCs w:val="17"/>
                <w:color w:val="auto"/>
              </w:rPr>
              <w:t>16</w:t>
            </w:r>
          </w:p>
        </w:tc>
      </w:tr>
      <w:tr>
        <w:trPr>
          <w:trHeight w:val="182"/>
        </w:trPr>
        <w:tc>
          <w:tcPr>
            <w:tcW w:w="1900" w:type="dxa"/>
            <w:vAlign w:val="bottom"/>
            <w:tcBorders>
              <w:bottom w:val="single" w:sz="8" w:color="0000EE"/>
            </w:tcBorders>
            <w:gridSpan w:val="9"/>
          </w:tcPr>
          <w:p>
            <w:pPr>
              <w:spacing w:after="0" w:line="182" w:lineRule="exact"/>
              <w:rPr>
                <w:rFonts w:ascii="Arial" w:cs="Arial" w:eastAsia="Arial" w:hAnsi="Arial"/>
                <w:sz w:val="17"/>
                <w:szCs w:val="17"/>
                <w:b w:val="1"/>
                <w:bCs w:val="1"/>
                <w:color w:val="0000EE"/>
                <w:w w:val="98"/>
              </w:rPr>
            </w:pPr>
            <w:hyperlink w:anchor="page25">
              <w:r>
                <w:rPr>
                  <w:rFonts w:ascii="Arial" w:cs="Arial" w:eastAsia="Arial" w:hAnsi="Arial"/>
                  <w:sz w:val="17"/>
                  <w:szCs w:val="17"/>
                  <w:b w:val="1"/>
                  <w:bCs w:val="1"/>
                  <w:color w:val="0000EE"/>
                  <w:w w:val="98"/>
                </w:rPr>
                <w:t>POWER OF ATTORNEY</w:t>
              </w:r>
            </w:hyperlink>
          </w:p>
        </w:tc>
        <w:tc>
          <w:tcPr>
            <w:tcW w:w="6960" w:type="dxa"/>
            <w:vAlign w:val="bottom"/>
            <w:gridSpan w:val="6"/>
          </w:tcPr>
          <w:p>
            <w:pPr>
              <w:spacing w:after="0"/>
              <w:rPr>
                <w:sz w:val="15"/>
                <w:szCs w:val="15"/>
                <w:color w:val="auto"/>
              </w:rPr>
            </w:pPr>
          </w:p>
        </w:tc>
        <w:tc>
          <w:tcPr>
            <w:tcW w:w="2560" w:type="dxa"/>
            <w:vAlign w:val="bottom"/>
          </w:tcPr>
          <w:p>
            <w:pPr>
              <w:ind w:left="2240"/>
              <w:spacing w:after="0" w:line="182" w:lineRule="exact"/>
              <w:rPr>
                <w:sz w:val="20"/>
                <w:szCs w:val="20"/>
                <w:color w:val="auto"/>
              </w:rPr>
            </w:pPr>
            <w:r>
              <w:rPr>
                <w:rFonts w:ascii="Arial" w:cs="Arial" w:eastAsia="Arial" w:hAnsi="Arial"/>
                <w:sz w:val="17"/>
                <w:szCs w:val="17"/>
                <w:color w:val="auto"/>
              </w:rPr>
              <w:t>II-5</w:t>
            </w:r>
          </w:p>
        </w:tc>
      </w:tr>
      <w:tr>
        <w:trPr>
          <w:trHeight w:val="182"/>
        </w:trPr>
        <w:tc>
          <w:tcPr>
            <w:tcW w:w="40" w:type="dxa"/>
            <w:vAlign w:val="bottom"/>
          </w:tcPr>
          <w:p>
            <w:pPr>
              <w:spacing w:after="0"/>
              <w:rPr>
                <w:sz w:val="15"/>
                <w:szCs w:val="15"/>
                <w:color w:val="auto"/>
              </w:rPr>
            </w:pPr>
          </w:p>
        </w:tc>
        <w:tc>
          <w:tcPr>
            <w:tcW w:w="8820" w:type="dxa"/>
            <w:vAlign w:val="bottom"/>
            <w:gridSpan w:val="14"/>
          </w:tcPr>
          <w:p>
            <w:pPr>
              <w:spacing w:after="0" w:line="182" w:lineRule="exact"/>
              <w:rPr>
                <w:sz w:val="20"/>
                <w:szCs w:val="20"/>
                <w:color w:val="auto"/>
              </w:rPr>
            </w:pPr>
            <w:r>
              <w:rPr>
                <w:rFonts w:ascii="Arial" w:cs="Arial" w:eastAsia="Arial" w:hAnsi="Arial"/>
                <w:sz w:val="16"/>
                <w:szCs w:val="16"/>
                <w:color w:val="0000EE"/>
              </w:rPr>
              <w:t>EXHIBIT 4.1</w:t>
            </w:r>
          </w:p>
        </w:tc>
        <w:tc>
          <w:tcPr>
            <w:tcW w:w="256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40" w:type="dxa"/>
            <w:vAlign w:val="bottom"/>
            <w:gridSpan w:val="1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82"/>
        </w:trPr>
        <w:tc>
          <w:tcPr>
            <w:tcW w:w="40" w:type="dxa"/>
            <w:vAlign w:val="bottom"/>
          </w:tcPr>
          <w:p>
            <w:pPr>
              <w:spacing w:after="0"/>
              <w:rPr>
                <w:sz w:val="15"/>
                <w:szCs w:val="15"/>
                <w:color w:val="auto"/>
              </w:rPr>
            </w:pPr>
          </w:p>
        </w:tc>
        <w:tc>
          <w:tcPr>
            <w:tcW w:w="8820" w:type="dxa"/>
            <w:vAlign w:val="bottom"/>
            <w:gridSpan w:val="14"/>
          </w:tcPr>
          <w:p>
            <w:pPr>
              <w:spacing w:after="0" w:line="182" w:lineRule="exact"/>
              <w:rPr>
                <w:sz w:val="20"/>
                <w:szCs w:val="20"/>
                <w:color w:val="auto"/>
              </w:rPr>
            </w:pPr>
            <w:r>
              <w:rPr>
                <w:rFonts w:ascii="Arial" w:cs="Arial" w:eastAsia="Arial" w:hAnsi="Arial"/>
                <w:sz w:val="16"/>
                <w:szCs w:val="16"/>
                <w:color w:val="0000EE"/>
              </w:rPr>
              <w:t>EXHIBIT 5.1</w:t>
            </w:r>
          </w:p>
        </w:tc>
        <w:tc>
          <w:tcPr>
            <w:tcW w:w="256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40" w:type="dxa"/>
            <w:vAlign w:val="bottom"/>
            <w:gridSpan w:val="1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82"/>
        </w:trPr>
        <w:tc>
          <w:tcPr>
            <w:tcW w:w="40" w:type="dxa"/>
            <w:vAlign w:val="bottom"/>
          </w:tcPr>
          <w:p>
            <w:pPr>
              <w:spacing w:after="0"/>
              <w:rPr>
                <w:sz w:val="15"/>
                <w:szCs w:val="15"/>
                <w:color w:val="auto"/>
              </w:rPr>
            </w:pPr>
          </w:p>
        </w:tc>
        <w:tc>
          <w:tcPr>
            <w:tcW w:w="8820" w:type="dxa"/>
            <w:vAlign w:val="bottom"/>
            <w:gridSpan w:val="14"/>
          </w:tcPr>
          <w:p>
            <w:pPr>
              <w:spacing w:after="0" w:line="182" w:lineRule="exact"/>
              <w:rPr>
                <w:sz w:val="20"/>
                <w:szCs w:val="20"/>
                <w:color w:val="auto"/>
              </w:rPr>
            </w:pPr>
            <w:r>
              <w:rPr>
                <w:rFonts w:ascii="Arial" w:cs="Arial" w:eastAsia="Arial" w:hAnsi="Arial"/>
                <w:sz w:val="16"/>
                <w:szCs w:val="16"/>
                <w:color w:val="0000EE"/>
              </w:rPr>
              <w:t>EXHIBIT 23.1</w:t>
            </w:r>
          </w:p>
        </w:tc>
        <w:tc>
          <w:tcPr>
            <w:tcW w:w="256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7840" w:type="dxa"/>
            <w:vAlign w:val="bottom"/>
            <w:gridSpan w:val="1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82"/>
        </w:trPr>
        <w:tc>
          <w:tcPr>
            <w:tcW w:w="40" w:type="dxa"/>
            <w:vAlign w:val="bottom"/>
          </w:tcPr>
          <w:p>
            <w:pPr>
              <w:spacing w:after="0"/>
              <w:rPr>
                <w:sz w:val="15"/>
                <w:szCs w:val="15"/>
                <w:color w:val="auto"/>
              </w:rPr>
            </w:pPr>
          </w:p>
        </w:tc>
        <w:tc>
          <w:tcPr>
            <w:tcW w:w="8820" w:type="dxa"/>
            <w:vAlign w:val="bottom"/>
            <w:gridSpan w:val="14"/>
          </w:tcPr>
          <w:p>
            <w:pPr>
              <w:spacing w:after="0" w:line="182" w:lineRule="exact"/>
              <w:rPr>
                <w:sz w:val="20"/>
                <w:szCs w:val="20"/>
                <w:color w:val="auto"/>
              </w:rPr>
            </w:pPr>
            <w:r>
              <w:rPr>
                <w:rFonts w:ascii="Arial" w:cs="Arial" w:eastAsia="Arial" w:hAnsi="Arial"/>
                <w:sz w:val="16"/>
                <w:szCs w:val="16"/>
                <w:color w:val="0000EE"/>
              </w:rPr>
              <w:t>EXHIBIT 23.2</w:t>
            </w:r>
          </w:p>
        </w:tc>
        <w:tc>
          <w:tcPr>
            <w:tcW w:w="2560" w:type="dxa"/>
            <w:vAlign w:val="bottom"/>
          </w:tcPr>
          <w:p>
            <w:pPr>
              <w:spacing w:after="0"/>
              <w:rPr>
                <w:sz w:val="15"/>
                <w:szCs w:val="15"/>
                <w:color w:val="auto"/>
              </w:rPr>
            </w:pPr>
          </w:p>
        </w:tc>
      </w:tr>
      <w:tr>
        <w:trPr>
          <w:trHeight w:val="608"/>
        </w:trPr>
        <w:tc>
          <w:tcPr>
            <w:tcW w:w="40" w:type="dxa"/>
            <w:vAlign w:val="bottom"/>
            <w:tcBorders>
              <w:bottom w:val="single" w:sz="8" w:color="808080"/>
            </w:tcBorders>
          </w:tcPr>
          <w:p>
            <w:pPr>
              <w:spacing w:after="0"/>
              <w:rPr>
                <w:sz w:val="24"/>
                <w:szCs w:val="24"/>
                <w:color w:val="auto"/>
              </w:rPr>
            </w:pPr>
          </w:p>
        </w:tc>
        <w:tc>
          <w:tcPr>
            <w:tcW w:w="740" w:type="dxa"/>
            <w:vAlign w:val="bottom"/>
            <w:tcBorders>
              <w:top w:val="single" w:sz="8" w:color="0000EE"/>
              <w:bottom w:val="single" w:sz="8" w:color="808080"/>
            </w:tcBorders>
          </w:tcPr>
          <w:p>
            <w:pPr>
              <w:spacing w:after="0"/>
              <w:rPr>
                <w:sz w:val="24"/>
                <w:szCs w:val="24"/>
                <w:color w:val="auto"/>
              </w:rPr>
            </w:pPr>
          </w:p>
        </w:tc>
        <w:tc>
          <w:tcPr>
            <w:tcW w:w="12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type w:val="continuous"/>
        </w:sectPr>
      </w:pPr>
    </w:p>
    <w:bookmarkStart w:id="4" w:name="page5"/>
    <w:bookmarkEnd w:id="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SUMMARY</w:t>
      </w:r>
    </w:p>
    <w:p>
      <w:pPr>
        <w:spacing w:after="0" w:line="188" w:lineRule="exact"/>
        <w:rPr>
          <w:sz w:val="20"/>
          <w:szCs w:val="20"/>
          <w:color w:val="auto"/>
        </w:rPr>
      </w:pPr>
    </w:p>
    <w:p>
      <w:pPr>
        <w:ind w:right="60" w:firstLine="210"/>
        <w:spacing w:after="0" w:line="339" w:lineRule="auto"/>
        <w:rPr>
          <w:sz w:val="20"/>
          <w:szCs w:val="20"/>
          <w:color w:val="auto"/>
        </w:rPr>
      </w:pPr>
      <w:r>
        <w:rPr>
          <w:rFonts w:ascii="Arial" w:cs="Arial" w:eastAsia="Arial" w:hAnsi="Arial"/>
          <w:sz w:val="15"/>
          <w:szCs w:val="15"/>
          <w:i w:val="1"/>
          <w:iCs w:val="1"/>
          <w:color w:val="auto"/>
        </w:rPr>
        <w:t>The following summary is qualified in its entirety by the more detailed information and financial statements appearing elsewhere or incorporated by reference in this prospectus. Without limiting the generality of the foregoing, prospective investors should carefully consider factors set forth under the caption “Risk Factors” below.</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OUR COMPANY</w:t>
      </w:r>
    </w:p>
    <w:p>
      <w:pPr>
        <w:spacing w:after="0" w:line="175" w:lineRule="exact"/>
        <w:rPr>
          <w:sz w:val="20"/>
          <w:szCs w:val="20"/>
          <w:color w:val="auto"/>
        </w:rPr>
      </w:pPr>
    </w:p>
    <w:p>
      <w:pPr>
        <w:ind w:right="20" w:firstLine="207"/>
        <w:spacing w:after="0" w:line="289" w:lineRule="auto"/>
        <w:rPr>
          <w:sz w:val="20"/>
          <w:szCs w:val="20"/>
          <w:color w:val="auto"/>
        </w:rPr>
      </w:pPr>
      <w:r>
        <w:rPr>
          <w:rFonts w:ascii="Arial" w:cs="Arial" w:eastAsia="Arial" w:hAnsi="Arial"/>
          <w:sz w:val="15"/>
          <w:szCs w:val="15"/>
          <w:color w:val="auto"/>
        </w:rPr>
        <w:t>We are engaged in research aimed at the development of therapies that would use stem and progenitor cells to treat, and possibly cure, human diseases and injuries such as neurodegenerative diseases (for instance, Batten’s, Parkinson’s, and Alzheimer’s diseases, and other metabolic genetic disorders), demyelinating disorders (for instance, Multiple Sclerosis), spinal cord injuries, stroke, hepatitis, chronic liver failure, and diabetes. 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 We use cells derived from fetal or adult tissue sources and are not developing embryonic stem cells for therapeutic use. We are not involved in any activity directed toward human cloning; our programs are all directed toward the use of tissue-derived cells for treating or curing diseases and injuries.</w:t>
      </w:r>
    </w:p>
    <w:p>
      <w:pPr>
        <w:spacing w:after="0" w:line="133" w:lineRule="exact"/>
        <w:rPr>
          <w:sz w:val="20"/>
          <w:szCs w:val="20"/>
          <w:color w:val="auto"/>
        </w:rPr>
      </w:pPr>
    </w:p>
    <w:p>
      <w:pPr>
        <w:ind w:right="160" w:firstLine="210"/>
        <w:spacing w:after="0" w:line="262" w:lineRule="auto"/>
        <w:rPr>
          <w:sz w:val="20"/>
          <w:szCs w:val="20"/>
          <w:color w:val="auto"/>
        </w:rPr>
      </w:pPr>
      <w:r>
        <w:rPr>
          <w:rFonts w:ascii="Arial" w:cs="Arial" w:eastAsia="Arial" w:hAnsi="Arial"/>
          <w:sz w:val="17"/>
          <w:szCs w:val="17"/>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that these neural, liver and pancreatic conditions affect more than 49 million people in the United States and account for more than $300 billion annually in health care costs</w:t>
      </w:r>
      <w:r>
        <w:rPr>
          <w:rFonts w:ascii="Arial" w:cs="Arial" w:eastAsia="Arial" w:hAnsi="Arial"/>
          <w:sz w:val="28"/>
          <w:szCs w:val="28"/>
          <w:color w:val="auto"/>
          <w:vertAlign w:val="superscript"/>
        </w:rPr>
        <w:t>1</w:t>
      </w:r>
      <w:r>
        <w:rPr>
          <w:rFonts w:ascii="Arial" w:cs="Arial" w:eastAsia="Arial" w:hAnsi="Arial"/>
          <w:sz w:val="17"/>
          <w:szCs w:val="17"/>
          <w:color w:val="auto"/>
        </w:rPr>
        <w:t>.</w:t>
      </w:r>
    </w:p>
    <w:p>
      <w:pPr>
        <w:spacing w:after="0" w:line="19" w:lineRule="exact"/>
        <w:rPr>
          <w:sz w:val="20"/>
          <w:szCs w:val="20"/>
          <w:color w:val="auto"/>
        </w:rPr>
      </w:pPr>
    </w:p>
    <w:p>
      <w:pPr>
        <w:ind w:right="60" w:firstLine="210"/>
        <w:spacing w:after="0" w:line="270" w:lineRule="auto"/>
        <w:rPr>
          <w:sz w:val="20"/>
          <w:szCs w:val="20"/>
          <w:color w:val="auto"/>
        </w:rPr>
      </w:pPr>
      <w:r>
        <w:rPr>
          <w:rFonts w:ascii="Arial" w:cs="Arial" w:eastAsia="Arial" w:hAnsi="Arial"/>
          <w:sz w:val="16"/>
          <w:szCs w:val="16"/>
          <w:color w:val="auto"/>
        </w:rPr>
        <w:t>Our stem cell discovery engine relies upon our state of the art cell sorting capabilities and our library of proprietary monoclonal antibodies to human proteins. Using these and other monoclonal antibodies, we have successfully identified, purified, and characterized the human central nervous system stem cell. We have also used our proprietary monoclonal antibodies to make significant advances in our search for stem or progenitor cells of the liver and the pancreas. We have established an intellectual property position in all three areas of our stem cell research — the nervous system, the liver and the pancreas — by patenting our discoveries and entering into exclusive in-licensing arrangements. We believe that, if successfully developed, our platform of stem cell technologies may create the basis for therapies that would address a number of conditions with significant unmet medical needs. We are concentrating our in-house efforts on our neural and liver programs and, for the present, pursuing research on the pancreas primarily through an external collaborator.</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Our principal executive offices are located at StemCells, Inc., 3155 Porter Drive, Palo Alto, CA 94304 and our phone number is (650) 475-3100.</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right="60"/>
        <w:spacing w:after="0" w:line="259" w:lineRule="auto"/>
        <w:rPr>
          <w:sz w:val="20"/>
          <w:szCs w:val="20"/>
          <w:color w:val="auto"/>
        </w:rPr>
      </w:pPr>
      <w:r>
        <w:rPr>
          <w:rFonts w:ascii="Arial" w:cs="Arial" w:eastAsia="Arial" w:hAnsi="Arial"/>
          <w:sz w:val="17"/>
          <w:szCs w:val="17"/>
          <w:i w:val="1"/>
          <w:iCs w:val="1"/>
          <w:color w:val="auto"/>
        </w:rPr>
        <w:t>Investing in our common stock is risky. In addition to the other information in this prospectus, the following risk factors should be considered carefully in evaluating us and our business. If any of the following risks were to occur, our business, financial condition or results of operations would likely suffer. In that event, the trading price of our common stock could decline, and you could lose all or a part of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13239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70" w:lineRule="exact"/>
        <w:rPr>
          <w:sz w:val="20"/>
          <w:szCs w:val="20"/>
          <w:color w:val="auto"/>
        </w:rPr>
      </w:pPr>
    </w:p>
    <w:p>
      <w:pPr>
        <w:ind w:left="460" w:hanging="403"/>
        <w:spacing w:after="0" w:line="216" w:lineRule="auto"/>
        <w:tabs>
          <w:tab w:leader="none" w:pos="460"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color w:val="auto"/>
        </w:rPr>
        <w:t>This estimate is based on information from the Alzheimer’s Association, the Alzheimer’s Disease Education &amp; Referral Center (National Institute on Aging), the National Institutes of Health’s National Institute on Neurological Disorders and Stroke, the Foundation for Spinal Cord Injury Prevention, Care &amp; Cure, the Centers for Disease Control and Prevention, University of Georgia College of Pharmacy, the Cincinnati Children’s Hospital Medical Center, JAIDs, the American Liver Foundation, and the Parkinson’s Action Network.</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5995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Business</w:t>
      </w:r>
    </w:p>
    <w:p>
      <w:pPr>
        <w:spacing w:after="0" w:line="18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b w:val="1"/>
          <w:bCs w:val="1"/>
          <w:i w:val="1"/>
          <w:iCs w:val="1"/>
          <w:color w:val="auto"/>
        </w:rPr>
        <w:t>Our financial situation is precarious and, based on currently estimated operating expenses our existing capital resources are only sufficient to fund our operations into 2006.</w:t>
      </w:r>
    </w:p>
    <w:p>
      <w:pPr>
        <w:spacing w:after="0" w:line="127" w:lineRule="exact"/>
        <w:rPr>
          <w:sz w:val="20"/>
          <w:szCs w:val="20"/>
          <w:color w:val="auto"/>
        </w:rPr>
      </w:pPr>
    </w:p>
    <w:p>
      <w:pPr>
        <w:ind w:firstLine="207"/>
        <w:spacing w:after="0" w:line="267" w:lineRule="auto"/>
        <w:rPr>
          <w:sz w:val="20"/>
          <w:szCs w:val="20"/>
          <w:color w:val="auto"/>
        </w:rPr>
      </w:pPr>
      <w:r>
        <w:rPr>
          <w:rFonts w:ascii="Arial" w:cs="Arial" w:eastAsia="Arial" w:hAnsi="Arial"/>
          <w:sz w:val="16"/>
          <w:szCs w:val="16"/>
          <w:color w:val="auto"/>
        </w:rPr>
        <w:t>We have incurred significant operating losses and negative cash flows since inception. We have not achieved profitability and may not be able to realize sufficient revenues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and for acquisition of technologies and intellectual property rights, preclinical and clinical testing of our anticipated products, pursuit of regulatory approvals, acquisition of capital equipment, laboratory and office facilities, establishment of production capabilities, general and administrative expenses and other working capital requirements. We rely on cash reserves and proceeds from equity and debt offerings, proceeds from the transfer or sale of our intellectual property rights, equipment, facilities or investments, and government grants and funding from collaborative arrangements, if obtainable, to fund our operations. If we exhaust our cash reserves and are unable to realize adequate financing, we may be unable to meet operating obligations and be required to initiate bankruptcy proceedings. Our existing capital resources are only sufficient to fund our operations into 2006. These conditions raise doubt about our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37" w:lineRule="exact"/>
        <w:rPr>
          <w:sz w:val="20"/>
          <w:szCs w:val="20"/>
          <w:color w:val="auto"/>
        </w:rPr>
      </w:pPr>
    </w:p>
    <w:p>
      <w:pPr>
        <w:ind w:right="40" w:firstLine="207"/>
        <w:spacing w:after="0" w:line="254" w:lineRule="auto"/>
        <w:rPr>
          <w:sz w:val="20"/>
          <w:szCs w:val="20"/>
          <w:color w:val="auto"/>
        </w:rPr>
      </w:pPr>
      <w:r>
        <w:rPr>
          <w:rFonts w:ascii="Arial" w:cs="Arial" w:eastAsia="Arial" w:hAnsi="Arial"/>
          <w:sz w:val="17"/>
          <w:szCs w:val="17"/>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–at all, or on terms acceptable to us. Lack of necessary funds may require us to delay, scale back or eliminate some or all of our research and product development programs and/or our capital expenditures or to license our potential products or technologies to third parties.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technology is at an early stage of discovery and development, and we may fail to develop any commercially acceptable products.</w:t>
      </w:r>
    </w:p>
    <w:p>
      <w:pPr>
        <w:spacing w:after="0" w:line="171" w:lineRule="exact"/>
        <w:rPr>
          <w:sz w:val="20"/>
          <w:szCs w:val="20"/>
          <w:color w:val="auto"/>
        </w:rPr>
      </w:pPr>
    </w:p>
    <w:p>
      <w:pPr>
        <w:jc w:val="both"/>
        <w:ind w:right="60" w:firstLine="210"/>
        <w:spacing w:after="0" w:line="259" w:lineRule="auto"/>
        <w:rPr>
          <w:sz w:val="20"/>
          <w:szCs w:val="20"/>
          <w:color w:val="auto"/>
        </w:rPr>
      </w:pPr>
      <w:r>
        <w:rPr>
          <w:rFonts w:ascii="Arial" w:cs="Arial" w:eastAsia="Arial" w:hAnsi="Arial"/>
          <w:sz w:val="17"/>
          <w:szCs w:val="17"/>
          <w:color w:val="auto"/>
        </w:rPr>
        <w:t>Our stem cell technology still in the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176" w:lineRule="exact"/>
        <w:rPr>
          <w:sz w:val="20"/>
          <w:szCs w:val="20"/>
          <w:color w:val="auto"/>
        </w:rPr>
      </w:pPr>
    </w:p>
    <w:p>
      <w:pPr>
        <w:ind w:left="560" w:hanging="163"/>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survive and persist in the desired location;</w:t>
      </w:r>
    </w:p>
    <w:p>
      <w:pPr>
        <w:spacing w:after="0" w:line="208" w:lineRule="exact"/>
        <w:rPr>
          <w:rFonts w:ascii="Arial" w:cs="Arial" w:eastAsia="Arial" w:hAnsi="Arial"/>
          <w:sz w:val="17"/>
          <w:szCs w:val="17"/>
          <w:color w:val="auto"/>
        </w:rPr>
      </w:pPr>
    </w:p>
    <w:p>
      <w:pPr>
        <w:ind w:left="560" w:hanging="163"/>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provide the intended therapeutic benefits;</w:t>
      </w:r>
    </w:p>
    <w:p>
      <w:pPr>
        <w:spacing w:after="0" w:line="208" w:lineRule="exact"/>
        <w:rPr>
          <w:rFonts w:ascii="Arial" w:cs="Arial" w:eastAsia="Arial" w:hAnsi="Arial"/>
          <w:sz w:val="17"/>
          <w:szCs w:val="17"/>
          <w:color w:val="auto"/>
        </w:rPr>
      </w:pPr>
    </w:p>
    <w:p>
      <w:pPr>
        <w:ind w:left="560" w:hanging="163"/>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properly integrate into existing tissue in the desired manner; or</w:t>
      </w:r>
    </w:p>
    <w:p>
      <w:pPr>
        <w:spacing w:after="0" w:line="208" w:lineRule="exact"/>
        <w:rPr>
          <w:rFonts w:ascii="Arial" w:cs="Arial" w:eastAsia="Arial" w:hAnsi="Arial"/>
          <w:sz w:val="17"/>
          <w:szCs w:val="17"/>
          <w:color w:val="auto"/>
        </w:rPr>
      </w:pPr>
    </w:p>
    <w:p>
      <w:pPr>
        <w:ind w:left="560" w:hanging="163"/>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achieve therapeutic benefits equal to or better than the standard of treatment at the time of testing.</w:t>
      </w:r>
    </w:p>
    <w:p>
      <w:pPr>
        <w:spacing w:after="0" w:line="209" w:lineRule="exact"/>
        <w:rPr>
          <w:sz w:val="20"/>
          <w:szCs w:val="20"/>
          <w:color w:val="auto"/>
        </w:rPr>
      </w:pPr>
    </w:p>
    <w:p>
      <w:pPr>
        <w:ind w:right="260" w:firstLine="210"/>
        <w:spacing w:after="0" w:line="252" w:lineRule="auto"/>
        <w:rPr>
          <w:sz w:val="20"/>
          <w:szCs w:val="20"/>
          <w:color w:val="auto"/>
        </w:rPr>
      </w:pPr>
      <w:r>
        <w:rPr>
          <w:rFonts w:ascii="Arial" w:cs="Arial" w:eastAsia="Arial" w:hAnsi="Arial"/>
          <w:sz w:val="17"/>
          <w:szCs w:val="17"/>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 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 claims.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5995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440" w:firstLine="210"/>
        <w:spacing w:after="0" w:line="295" w:lineRule="auto"/>
        <w:rPr>
          <w:sz w:val="20"/>
          <w:szCs w:val="20"/>
          <w:color w:val="auto"/>
        </w:rPr>
      </w:pPr>
      <w:r>
        <w:rPr>
          <w:rFonts w:ascii="Arial" w:cs="Arial" w:eastAsia="Arial" w:hAnsi="Arial"/>
          <w:sz w:val="15"/>
          <w:szCs w:val="15"/>
          <w:color w:val="auto"/>
        </w:rPr>
        <w:t>Moreover, because our cell therapy treatments will be derived from tissue of individuals other than the patient (that is, they will be “non-self” or “allogeneic” transplant products), patients will require the use of immunosuppressive drugs such as cyclosporine, FK506, or others to prevent rejection of the cells. While immunosuppression is now standard in connection with allogeneic transplants of various kinds, long-term maintenance on immunosuppressive drugs can produce complications that include infection, cancer, cardiovascular disease, renal dysfunction and other side effects depending upon which immunosuppressive regimen is employed. Immunosuppression has not been tested with our therapies since we have not yet conducted any clinical trials.</w:t>
      </w:r>
    </w:p>
    <w:p>
      <w:pPr>
        <w:spacing w:after="0" w:line="128" w:lineRule="exact"/>
        <w:rPr>
          <w:sz w:val="20"/>
          <w:szCs w:val="20"/>
          <w:color w:val="auto"/>
        </w:rPr>
      </w:pPr>
    </w:p>
    <w:p>
      <w:pPr>
        <w:ind w:right="860"/>
        <w:spacing w:after="0" w:line="271" w:lineRule="auto"/>
        <w:rPr>
          <w:sz w:val="20"/>
          <w:szCs w:val="20"/>
          <w:color w:val="auto"/>
        </w:rPr>
      </w:pPr>
      <w:r>
        <w:rPr>
          <w:rFonts w:ascii="Arial" w:cs="Arial" w:eastAsia="Arial" w:hAnsi="Arial"/>
          <w:sz w:val="17"/>
          <w:szCs w:val="17"/>
          <w:b w:val="1"/>
          <w:bCs w:val="1"/>
          <w:i w:val="1"/>
          <w:iCs w:val="1"/>
          <w:color w:val="auto"/>
        </w:rPr>
        <w:t>We have payment obligations resulting from real property owned or leased by us in Rhode Island, which diverts funding from our stem cell research and development.</w:t>
      </w:r>
    </w:p>
    <w:p>
      <w:pPr>
        <w:spacing w:after="0" w:line="127" w:lineRule="exact"/>
        <w:rPr>
          <w:sz w:val="20"/>
          <w:szCs w:val="20"/>
          <w:color w:val="auto"/>
        </w:rPr>
      </w:pPr>
    </w:p>
    <w:p>
      <w:pPr>
        <w:ind w:firstLine="210"/>
        <w:spacing w:after="0" w:line="251" w:lineRule="auto"/>
        <w:rPr>
          <w:sz w:val="20"/>
          <w:szCs w:val="20"/>
          <w:color w:val="auto"/>
        </w:rPr>
      </w:pPr>
      <w:r>
        <w:rPr>
          <w:rFonts w:ascii="Arial" w:cs="Arial" w:eastAsia="Arial" w:hAnsi="Arial"/>
          <w:sz w:val="17"/>
          <w:szCs w:val="17"/>
          <w:color w:val="auto"/>
        </w:rPr>
        <w:t>Prior to our reorganization in 1999 and the consolidation of our business in California, we carried out our former encapsulated cell therapy programs in Lincoln, Rhode Island, where we also had our administrative offices. Although we have vacated the Rhode Island facilities, we remain obligated to make on average, lease payments and payments for operating costs of approximately $1,450,000 per year before sub-tenant rent income for our former science and administrative facility, which we have leased through June 30, 2013, and debt service payments and payments for operating costs of approximately $500,000 per year for our former encapsulated cell therapy pilot manufacturing facility, which we own. We have currently subleased a portion of the science and administrative facility, and are seeking to sublease the remaining portion, but we cannot be sure that we will be able to keep any part of the facility subleased for the duration of our obligation. We have currently subleased the entire pilot manufacturing facility to a privately-held biotechnology company, but may not be able to sublease or sell the facility in the future once the current sublease agreements expire. These continuing costs significantly reduce our cash resources and adversely affect our ability to fund further development of our stem cell technology.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but fail to obtain partners to support our stem cell development efforts and to commercialize our technology.</w:t>
      </w:r>
    </w:p>
    <w:p>
      <w:pPr>
        <w:spacing w:after="0" w:line="184" w:lineRule="exact"/>
        <w:rPr>
          <w:sz w:val="20"/>
          <w:szCs w:val="20"/>
          <w:color w:val="auto"/>
        </w:rPr>
      </w:pPr>
    </w:p>
    <w:p>
      <w:pPr>
        <w:ind w:right="160" w:firstLine="210"/>
        <w:spacing w:after="0" w:line="268" w:lineRule="auto"/>
        <w:rPr>
          <w:sz w:val="20"/>
          <w:szCs w:val="20"/>
          <w:color w:val="auto"/>
        </w:rPr>
      </w:pPr>
      <w:r>
        <w:rPr>
          <w:rFonts w:ascii="Arial" w:cs="Arial" w:eastAsia="Arial" w:hAnsi="Arial"/>
          <w:sz w:val="16"/>
          <w:szCs w:val="16"/>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operating losses, and we may fail to obtain revenues or become profitable.</w:t>
      </w:r>
    </w:p>
    <w:p>
      <w:pPr>
        <w:spacing w:after="0" w:line="171" w:lineRule="exact"/>
        <w:rPr>
          <w:sz w:val="20"/>
          <w:szCs w:val="20"/>
          <w:color w:val="auto"/>
        </w:rPr>
      </w:pPr>
    </w:p>
    <w:p>
      <w:pPr>
        <w:ind w:right="80" w:firstLine="207"/>
        <w:spacing w:after="0" w:line="292" w:lineRule="auto"/>
        <w:rPr>
          <w:sz w:val="20"/>
          <w:szCs w:val="20"/>
          <w:color w:val="auto"/>
        </w:rPr>
      </w:pPr>
      <w:r>
        <w:rPr>
          <w:rFonts w:ascii="Arial" w:cs="Arial" w:eastAsia="Arial" w:hAnsi="Arial"/>
          <w:sz w:val="15"/>
          <w:szCs w:val="15"/>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we have only one current research grant for our stem cell technology, and we may not obtain any such agreements or additional grants in the future or receive any revenues from them.</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5995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patents and proprietary rights, our business, financial condition and results of operations will be harmed.</w:t>
      </w:r>
    </w:p>
    <w:p>
      <w:pPr>
        <w:spacing w:after="0" w:line="184" w:lineRule="exact"/>
        <w:rPr>
          <w:sz w:val="20"/>
          <w:szCs w:val="20"/>
          <w:color w:val="auto"/>
        </w:rPr>
      </w:pPr>
    </w:p>
    <w:p>
      <w:pPr>
        <w:ind w:right="20" w:firstLine="207"/>
        <w:spacing w:after="0" w:line="285" w:lineRule="auto"/>
        <w:rPr>
          <w:sz w:val="20"/>
          <w:szCs w:val="20"/>
          <w:color w:val="auto"/>
        </w:rPr>
      </w:pPr>
      <w:r>
        <w:rPr>
          <w:rFonts w:ascii="Arial" w:cs="Arial" w:eastAsia="Arial" w:hAnsi="Arial"/>
          <w:sz w:val="15"/>
          <w:szCs w:val="15"/>
          <w:color w:val="auto"/>
        </w:rPr>
        <w:t>We own or license a number of patents and pending patent applications related to various stem and progenitor cells and methods of deriving and using them, including human neural stem cell cultures.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if any existing or future patents will provide sufficient protection or significant commercial advantage or if others will circumvent these patents. We cannot be certain that we were the first to discover the inventions covered by each of our pending patent applications or that we were the first to file patent applications for such inventions because patent applications are secret until they are published, and because publication of discoveries in the scientific or patent literature often lags behind actual discoveries. Patents may not issue from our pending or future patent applications or, if issued, may not be of commercial benefit to us. In addition, our patents may not afford us adequate protection from competing products.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 Further, patents issue for a limited term, and our patents may expire before we utilize them profitably. Under the procedures of the European Patent Office, third parties may oppose our issued European patents during the relevant opposition period. Such oppositions could result in substantial uncertainties and cost for us, even if the eventual outcome is favorable to us, and the outcome might not be favorable to us. One party has opposed two of our granted European patents. While we are confident in our position, there is no guarantee that we will prevail. If we are unsuccessful in our defense of the opposed patents, all claimed rights in the opposed patents will be lost in Europe.</w:t>
      </w:r>
    </w:p>
    <w:p>
      <w:pPr>
        <w:spacing w:after="0" w:line="123" w:lineRule="exact"/>
        <w:rPr>
          <w:sz w:val="20"/>
          <w:szCs w:val="20"/>
          <w:color w:val="auto"/>
        </w:rPr>
      </w:pPr>
    </w:p>
    <w:p>
      <w:pPr>
        <w:ind w:right="40" w:firstLine="210"/>
        <w:spacing w:after="0" w:line="295" w:lineRule="auto"/>
        <w:rPr>
          <w:sz w:val="20"/>
          <w:szCs w:val="20"/>
          <w:color w:val="auto"/>
        </w:rPr>
      </w:pPr>
      <w:r>
        <w:rPr>
          <w:rFonts w:ascii="Arial" w:cs="Arial" w:eastAsia="Arial" w:hAnsi="Arial"/>
          <w:sz w:val="15"/>
          <w:szCs w:val="15"/>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others are first to discover and patent the stem cells we are seeking to discover, we could be blocked from further work on those stem cells.</w:t>
      </w:r>
    </w:p>
    <w:p>
      <w:pPr>
        <w:spacing w:after="0" w:line="195" w:lineRule="exact"/>
        <w:rPr>
          <w:sz w:val="20"/>
          <w:szCs w:val="20"/>
          <w:color w:val="auto"/>
        </w:rPr>
      </w:pPr>
    </w:p>
    <w:p>
      <w:pPr>
        <w:ind w:right="160" w:firstLine="210"/>
        <w:spacing w:after="0" w:line="259" w:lineRule="auto"/>
        <w:rPr>
          <w:sz w:val="20"/>
          <w:szCs w:val="20"/>
          <w:color w:val="auto"/>
        </w:rPr>
      </w:pPr>
      <w:r>
        <w:rPr>
          <w:rFonts w:ascii="Arial" w:cs="Arial" w:eastAsia="Arial" w:hAnsi="Arial"/>
          <w:sz w:val="17"/>
          <w:szCs w:val="17"/>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obtain necessary licenses to third-party patents and other rights, we may not be able to commercially develop our expected products.</w:t>
      </w:r>
    </w:p>
    <w:p>
      <w:pPr>
        <w:spacing w:after="0" w:line="194" w:lineRule="exact"/>
        <w:rPr>
          <w:sz w:val="20"/>
          <w:szCs w:val="20"/>
          <w:color w:val="auto"/>
        </w:rPr>
      </w:pPr>
    </w:p>
    <w:p>
      <w:pPr>
        <w:ind w:firstLine="201"/>
        <w:spacing w:after="0" w:line="289" w:lineRule="auto"/>
        <w:rPr>
          <w:sz w:val="20"/>
          <w:szCs w:val="20"/>
          <w:color w:val="auto"/>
        </w:rPr>
      </w:pPr>
      <w:r>
        <w:rPr>
          <w:rFonts w:ascii="Arial" w:cs="Arial" w:eastAsia="Arial" w:hAnsi="Arial"/>
          <w:sz w:val="15"/>
          <w:szCs w:val="15"/>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valid claims that our technology infringes upon their technology, we may be unable to obtain licenses to these patents at a reasonable cost, if at all, and may also be unable to develop or obtain alternative technology. If we are unable to obtain such licenses at a reasonable cost, our business could be significantly harmed. We have obtained rights from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risks of third-party patents and/or technology. We can give no assurance that any of these licenses will provide effective protection against our competitors.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5995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compete with companies that have significant advantages over us.</w:t>
      </w:r>
    </w:p>
    <w:p>
      <w:pPr>
        <w:spacing w:after="0" w:line="184" w:lineRule="exact"/>
        <w:rPr>
          <w:sz w:val="20"/>
          <w:szCs w:val="20"/>
          <w:color w:val="auto"/>
        </w:rPr>
      </w:pPr>
    </w:p>
    <w:p>
      <w:pPr>
        <w:ind w:right="80" w:firstLine="207"/>
        <w:spacing w:after="0" w:line="270" w:lineRule="auto"/>
        <w:rPr>
          <w:sz w:val="20"/>
          <w:szCs w:val="20"/>
          <w:color w:val="auto"/>
        </w:rPr>
      </w:pPr>
      <w:r>
        <w:rPr>
          <w:rFonts w:ascii="Arial" w:cs="Arial" w:eastAsia="Arial" w:hAnsi="Arial"/>
          <w:sz w:val="16"/>
          <w:szCs w:val="16"/>
          <w:color w:val="auto"/>
        </w:rPr>
        <w:t>The market for therapeutic products to treat diseases of, or injuries to, the central nervous system (CNS) is large, and competition is intense. The majority of the products currently on the market or in development are small molecule pharmaceutical compounds. Many of the world’s pharmaceutical companies, including Merck, Pfizer, Abbott, Bristol-Myers Squibb, Novartis and GlaxoSmithKline, have made significant commitments to the CNS field. Any cell-based therapy to treat diseases of, or injuries to, the CNS is likely to face intense competition from the small molecule sector. In addition, a number of biotechnology companies with resources far greater than ours may also emerge as competitors. These include Genzyme, Amgen, Cephalon, Transkaryotic Therapies, BioMarin, Celgen, Biogen, and Titan Pharmaceuticals. Finally, we also expect to compete with smaller biotechnology companies, some of which are privately owned, such as Neuralstem, Geron, NeuroNova, ReNeuron, ES Cell International, and CellFactors/Diacrin.</w:t>
      </w:r>
    </w:p>
    <w:p>
      <w:pPr>
        <w:spacing w:after="0" w:line="131" w:lineRule="exact"/>
        <w:rPr>
          <w:sz w:val="20"/>
          <w:szCs w:val="20"/>
          <w:color w:val="auto"/>
        </w:rPr>
      </w:pPr>
    </w:p>
    <w:p>
      <w:pPr>
        <w:ind w:right="60" w:firstLine="207"/>
        <w:spacing w:after="0" w:line="255" w:lineRule="auto"/>
        <w:rPr>
          <w:sz w:val="20"/>
          <w:szCs w:val="20"/>
          <w:color w:val="auto"/>
        </w:rPr>
      </w:pPr>
      <w:r>
        <w:rPr>
          <w:rFonts w:ascii="Arial" w:cs="Arial" w:eastAsia="Arial" w:hAnsi="Arial"/>
          <w:sz w:val="17"/>
          <w:szCs w:val="17"/>
          <w:color w:val="auto"/>
        </w:rPr>
        <w:t>We believe that our human neural stem cells may have application to many or most of the Lysosomal Storage Diseases (“LSDs”) with CNS involvement. We intend to submit our first IND for Batten’s Disease, which is one of the LSDs that affect the CNS. There are, so far as we know, no approved therapies for Battens or any of the other CNS-specific LSDs, but other companies, including Genzyme, BioMarin, and Transkaryotic Therapies, have products approved to treat peripheral aspects of some of the other LSDs, and other products are in clinical trials.</w:t>
      </w:r>
    </w:p>
    <w:p>
      <w:pPr>
        <w:spacing w:after="0" w:line="142" w:lineRule="exact"/>
        <w:rPr>
          <w:sz w:val="20"/>
          <w:szCs w:val="20"/>
          <w:color w:val="auto"/>
        </w:rPr>
      </w:pPr>
    </w:p>
    <w:p>
      <w:pPr>
        <w:ind w:right="20" w:firstLine="210"/>
        <w:spacing w:after="0" w:line="259" w:lineRule="auto"/>
        <w:rPr>
          <w:sz w:val="20"/>
          <w:szCs w:val="20"/>
          <w:color w:val="auto"/>
        </w:rPr>
      </w:pPr>
      <w:r>
        <w:rPr>
          <w:rFonts w:ascii="Arial" w:cs="Arial" w:eastAsia="Arial" w:hAnsi="Arial"/>
          <w:sz w:val="17"/>
          <w:szCs w:val="17"/>
          <w:color w:val="auto"/>
        </w:rPr>
        <w:t>In the field of diabetes, a number of major companies currently market products for the treatment of diabetes and are also engaged in the research and development of new therapies. Such companies include Eli Lilly, Novo Nordisk, J&amp;J, Amylin, Serono. Consequently, should we successfully develop a cell-based therapy for diabetes, we would expect to face severe competition from these and similar companies.</w:t>
      </w:r>
    </w:p>
    <w:p>
      <w:pPr>
        <w:spacing w:after="0" w:line="151" w:lineRule="exact"/>
        <w:rPr>
          <w:sz w:val="20"/>
          <w:szCs w:val="20"/>
          <w:color w:val="auto"/>
        </w:rPr>
      </w:pPr>
    </w:p>
    <w:p>
      <w:pPr>
        <w:ind w:right="160" w:firstLine="210"/>
        <w:spacing w:after="0" w:line="259" w:lineRule="auto"/>
        <w:rPr>
          <w:sz w:val="20"/>
          <w:szCs w:val="20"/>
          <w:color w:val="auto"/>
        </w:rPr>
      </w:pPr>
      <w:r>
        <w:rPr>
          <w:rFonts w:ascii="Arial" w:cs="Arial" w:eastAsia="Arial" w:hAnsi="Arial"/>
          <w:sz w:val="17"/>
          <w:szCs w:val="17"/>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 transplantation.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of our technology is subject to and restricted by extensive government regulation, which could impede our business.</w:t>
      </w:r>
    </w:p>
    <w:p>
      <w:pPr>
        <w:spacing w:after="0" w:line="171" w:lineRule="exact"/>
        <w:rPr>
          <w:sz w:val="20"/>
          <w:szCs w:val="20"/>
          <w:color w:val="auto"/>
        </w:rPr>
      </w:pPr>
    </w:p>
    <w:p>
      <w:pPr>
        <w:ind w:firstLine="210"/>
        <w:spacing w:after="0" w:line="252" w:lineRule="auto"/>
        <w:rPr>
          <w:sz w:val="20"/>
          <w:szCs w:val="20"/>
          <w:color w:val="auto"/>
        </w:rPr>
      </w:pPr>
      <w:r>
        <w:rPr>
          <w:rFonts w:ascii="Arial" w:cs="Arial" w:eastAsia="Arial" w:hAnsi="Arial"/>
          <w:sz w:val="17"/>
          <w:szCs w:val="17"/>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159" w:lineRule="exact"/>
        <w:rPr>
          <w:sz w:val="20"/>
          <w:szCs w:val="20"/>
          <w:color w:val="auto"/>
        </w:rPr>
      </w:pPr>
    </w:p>
    <w:p>
      <w:pPr>
        <w:ind w:right="40" w:firstLine="207"/>
        <w:spacing w:after="0" w:line="254" w:lineRule="auto"/>
        <w:rPr>
          <w:sz w:val="20"/>
          <w:szCs w:val="20"/>
          <w:color w:val="auto"/>
        </w:rPr>
      </w:pPr>
      <w:r>
        <w:rPr>
          <w:rFonts w:ascii="Arial" w:cs="Arial" w:eastAsia="Arial" w:hAnsi="Arial"/>
          <w:sz w:val="17"/>
          <w:szCs w:val="17"/>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 – 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141" w:lineRule="exact"/>
        <w:rPr>
          <w:sz w:val="20"/>
          <w:szCs w:val="20"/>
          <w:color w:val="auto"/>
        </w:rPr>
      </w:pPr>
    </w:p>
    <w:p>
      <w:pPr>
        <w:ind w:right="60" w:firstLine="201"/>
        <w:spacing w:after="0" w:line="255" w:lineRule="auto"/>
        <w:rPr>
          <w:sz w:val="20"/>
          <w:szCs w:val="20"/>
          <w:color w:val="auto"/>
        </w:rPr>
      </w:pPr>
      <w:r>
        <w:rPr>
          <w:rFonts w:ascii="Arial" w:cs="Arial" w:eastAsia="Arial" w:hAnsi="Arial"/>
          <w:sz w:val="17"/>
          <w:szCs w:val="17"/>
          <w:color w:val="auto"/>
        </w:rPr>
        <w:t>Although we do not use embryonic stem cells, government regulation and threatened regulation of embryonic tissue may lead top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5995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both"/>
        <w:ind w:right="60"/>
        <w:spacing w:after="0" w:line="310" w:lineRule="auto"/>
        <w:rPr>
          <w:sz w:val="20"/>
          <w:szCs w:val="20"/>
          <w:color w:val="auto"/>
        </w:rPr>
      </w:pPr>
      <w:r>
        <w:rPr>
          <w:rFonts w:ascii="Arial" w:cs="Arial" w:eastAsia="Arial" w:hAnsi="Arial"/>
          <w:sz w:val="15"/>
          <w:szCs w:val="15"/>
          <w:color w:val="auto"/>
        </w:rPr>
        <w:t>competition among pharmaceutical, biotechnology and health care companies, universities and research institutions for what may become a shrinking class of qualified individuals. In addition, we cannot assure you that constraints on the use of embryonic stem cells will not be extended to use of fetal stem cells. Moreover, it is possible that concerns regarding research using embryonic stem cells will impact our ability to attract collaborators and investors and our stock price.</w:t>
      </w:r>
    </w:p>
    <w:p>
      <w:pPr>
        <w:spacing w:after="0" w:line="115" w:lineRule="exact"/>
        <w:rPr>
          <w:sz w:val="20"/>
          <w:szCs w:val="20"/>
          <w:color w:val="auto"/>
        </w:rPr>
      </w:pPr>
    </w:p>
    <w:p>
      <w:pPr>
        <w:ind w:right="160" w:firstLine="207"/>
        <w:spacing w:after="0" w:line="255" w:lineRule="auto"/>
        <w:rPr>
          <w:sz w:val="20"/>
          <w:szCs w:val="20"/>
          <w:color w:val="auto"/>
        </w:rPr>
      </w:pPr>
      <w:r>
        <w:rPr>
          <w:rFonts w:ascii="Arial" w:cs="Arial" w:eastAsia="Arial" w:hAnsi="Arial"/>
          <w:sz w:val="17"/>
          <w:szCs w:val="17"/>
          <w:color w:val="auto"/>
        </w:rPr>
        <w:t>We may apply for status under the Orphan Drug Act for some of our therapies to gain a seven-year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142" w:lineRule="exact"/>
        <w:rPr>
          <w:sz w:val="20"/>
          <w:szCs w:val="20"/>
          <w:color w:val="auto"/>
        </w:rPr>
      </w:pPr>
    </w:p>
    <w:p>
      <w:pPr>
        <w:jc w:val="both"/>
        <w:ind w:right="160"/>
        <w:spacing w:after="0" w:line="271" w:lineRule="auto"/>
        <w:rPr>
          <w:sz w:val="20"/>
          <w:szCs w:val="20"/>
          <w:color w:val="auto"/>
        </w:rPr>
      </w:pPr>
      <w:r>
        <w:rPr>
          <w:rFonts w:ascii="Arial" w:cs="Arial" w:eastAsia="Arial" w:hAnsi="Arial"/>
          <w:sz w:val="17"/>
          <w:szCs w:val="17"/>
          <w:b w:val="1"/>
          <w:bCs w:val="1"/>
          <w:i w:val="1"/>
          <w:iCs w:val="1"/>
          <w:color w:val="auto"/>
        </w:rPr>
        <w:t>If we lose the services of key personnel or are unable to attract and retain additional qualified personnel, we may have to delay, reduce or eliminate some or all of our research and development programs.</w:t>
      </w:r>
    </w:p>
    <w:p>
      <w:pPr>
        <w:spacing w:after="0" w:line="127" w:lineRule="exact"/>
        <w:rPr>
          <w:sz w:val="20"/>
          <w:szCs w:val="20"/>
          <w:color w:val="auto"/>
        </w:rPr>
      </w:pPr>
    </w:p>
    <w:p>
      <w:pPr>
        <w:ind w:firstLine="207"/>
        <w:spacing w:after="0" w:line="295" w:lineRule="auto"/>
        <w:rPr>
          <w:sz w:val="20"/>
          <w:szCs w:val="20"/>
          <w:color w:val="auto"/>
        </w:rPr>
      </w:pPr>
      <w:r>
        <w:rPr>
          <w:rFonts w:ascii="Arial" w:cs="Arial" w:eastAsia="Arial" w:hAnsi="Arial"/>
          <w:sz w:val="15"/>
          <w:szCs w:val="15"/>
          <w:color w:val="auto"/>
        </w:rPr>
        <w:t>We are highly dependent on the principal members of our management and scientific staff and some of our outside consultants, including the members of our scientific advisory board, our chief executive officer, our vice president and the directors of our neural stem cell and liver stem cell programs.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12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Since health care insurers and other organizations may not pay for our products or may impose limits on reimbursements, our ability to become profitable could be reduced.</w:t>
      </w:r>
    </w:p>
    <w:p>
      <w:pPr>
        <w:spacing w:after="0" w:line="127" w:lineRule="exact"/>
        <w:rPr>
          <w:sz w:val="20"/>
          <w:szCs w:val="20"/>
          <w:color w:val="auto"/>
        </w:rPr>
      </w:pPr>
    </w:p>
    <w:p>
      <w:pPr>
        <w:ind w:right="20" w:firstLine="210"/>
        <w:spacing w:after="0" w:line="286" w:lineRule="auto"/>
        <w:rPr>
          <w:sz w:val="20"/>
          <w:szCs w:val="20"/>
          <w:color w:val="auto"/>
        </w:rPr>
      </w:pPr>
      <w:r>
        <w:rPr>
          <w:rFonts w:ascii="Arial" w:cs="Arial" w:eastAsia="Arial" w:hAnsi="Arial"/>
          <w:sz w:val="15"/>
          <w:szCs w:val="15"/>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stem cell technology. 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limited liquidity and capital resources and may not obtain the significant capital resources we will need to sustain our research and development efforts.</w:t>
      </w:r>
    </w:p>
    <w:p>
      <w:pPr>
        <w:spacing w:after="0" w:line="218" w:lineRule="exact"/>
        <w:rPr>
          <w:sz w:val="20"/>
          <w:szCs w:val="20"/>
          <w:color w:val="auto"/>
        </w:rPr>
      </w:pPr>
    </w:p>
    <w:p>
      <w:pPr>
        <w:ind w:right="180" w:firstLine="207"/>
        <w:spacing w:after="0" w:line="254" w:lineRule="auto"/>
        <w:rPr>
          <w:sz w:val="20"/>
          <w:szCs w:val="20"/>
          <w:color w:val="auto"/>
        </w:rPr>
      </w:pPr>
      <w:r>
        <w:rPr>
          <w:rFonts w:ascii="Arial" w:cs="Arial" w:eastAsia="Arial" w:hAnsi="Arial"/>
          <w:sz w:val="17"/>
          <w:szCs w:val="17"/>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5995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280"/>
        <w:spacing w:after="0" w:line="255" w:lineRule="auto"/>
        <w:rPr>
          <w:sz w:val="20"/>
          <w:szCs w:val="20"/>
          <w:color w:val="auto"/>
        </w:rPr>
      </w:pPr>
      <w:r>
        <w:rPr>
          <w:rFonts w:ascii="Arial" w:cs="Arial" w:eastAsia="Arial" w:hAnsi="Arial"/>
          <w:sz w:val="17"/>
          <w:szCs w:val="17"/>
          <w:color w:val="auto"/>
        </w:rPr>
        <w:t>license our technology or any potential products to third parties rather than commercialize them ourselves.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successfully any such arrangements will depend upon market conditions and, more specifically, on continued progress in our research and development efforts.</w:t>
      </w:r>
    </w:p>
    <w:p>
      <w:pPr>
        <w:spacing w:after="0" w:line="151"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Risks Related to the Securities Market and this Offering</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stock price has been, and will likely continue to be, highly volatile, which may negatively affect our ability to obtain additional financing in the future.</w:t>
      </w:r>
    </w:p>
    <w:p>
      <w:pPr>
        <w:spacing w:after="0" w:line="194" w:lineRule="exact"/>
        <w:rPr>
          <w:sz w:val="20"/>
          <w:szCs w:val="20"/>
          <w:color w:val="auto"/>
        </w:rPr>
      </w:pPr>
    </w:p>
    <w:p>
      <w:pPr>
        <w:ind w:right="140" w:firstLine="207"/>
        <w:spacing w:after="0" w:line="271" w:lineRule="auto"/>
        <w:rPr>
          <w:sz w:val="20"/>
          <w:szCs w:val="20"/>
          <w:color w:val="auto"/>
        </w:rPr>
      </w:pPr>
      <w:r>
        <w:rPr>
          <w:rFonts w:ascii="Arial" w:cs="Arial" w:eastAsia="Arial" w:hAnsi="Arial"/>
          <w:sz w:val="17"/>
          <w:szCs w:val="17"/>
          <w:color w:val="auto"/>
        </w:rPr>
        <w:t>The market price of our stock has been and is likely to continue to be highly volatile due to the risks and uncertainties described in this section of the prospectus, as well as other factors, including:</w:t>
      </w:r>
    </w:p>
    <w:p>
      <w:pPr>
        <w:spacing w:after="0" w:line="165" w:lineRule="exact"/>
        <w:rPr>
          <w:sz w:val="20"/>
          <w:szCs w:val="20"/>
          <w:color w:val="auto"/>
        </w:rPr>
      </w:pPr>
    </w:p>
    <w:p>
      <w:pPr>
        <w:ind w:left="560" w:hanging="163"/>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develop and test our technology;</w:t>
      </w:r>
    </w:p>
    <w:p>
      <w:pPr>
        <w:spacing w:after="0" w:line="208" w:lineRule="exact"/>
        <w:rPr>
          <w:rFonts w:ascii="Arial" w:cs="Arial" w:eastAsia="Arial" w:hAnsi="Arial"/>
          <w:sz w:val="17"/>
          <w:szCs w:val="17"/>
          <w:color w:val="auto"/>
        </w:rPr>
      </w:pPr>
    </w:p>
    <w:p>
      <w:pPr>
        <w:ind w:left="560" w:hanging="163"/>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patent or obtain licenses to necessary technology;</w:t>
      </w:r>
    </w:p>
    <w:p>
      <w:pPr>
        <w:spacing w:after="0" w:line="208" w:lineRule="exact"/>
        <w:rPr>
          <w:rFonts w:ascii="Arial" w:cs="Arial" w:eastAsia="Arial" w:hAnsi="Arial"/>
          <w:sz w:val="17"/>
          <w:szCs w:val="17"/>
          <w:color w:val="auto"/>
        </w:rPr>
      </w:pPr>
    </w:p>
    <w:p>
      <w:pPr>
        <w:ind w:left="560" w:hanging="163"/>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conditions and publicity regarding the industry in which we operate, as well as the specific areas our product candidates seek to address;</w:t>
      </w:r>
    </w:p>
    <w:p>
      <w:pPr>
        <w:spacing w:after="0" w:line="208" w:lineRule="exact"/>
        <w:rPr>
          <w:rFonts w:ascii="Arial" w:cs="Arial" w:eastAsia="Arial" w:hAnsi="Arial"/>
          <w:sz w:val="17"/>
          <w:szCs w:val="17"/>
          <w:color w:val="auto"/>
        </w:rPr>
      </w:pPr>
    </w:p>
    <w:p>
      <w:pPr>
        <w:ind w:left="560" w:hanging="163"/>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competition in our industry;</w:t>
      </w:r>
    </w:p>
    <w:p>
      <w:pPr>
        <w:spacing w:after="0" w:line="208" w:lineRule="exact"/>
        <w:rPr>
          <w:rFonts w:ascii="Arial" w:cs="Arial" w:eastAsia="Arial" w:hAnsi="Arial"/>
          <w:sz w:val="17"/>
          <w:szCs w:val="17"/>
          <w:color w:val="auto"/>
        </w:rPr>
      </w:pPr>
    </w:p>
    <w:p>
      <w:pPr>
        <w:ind w:left="560" w:hanging="163"/>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price and volume fluctuations in the stock market at large that are unrelated to our operating performance; and</w:t>
      </w:r>
    </w:p>
    <w:p>
      <w:pPr>
        <w:spacing w:after="0" w:line="208" w:lineRule="exact"/>
        <w:rPr>
          <w:rFonts w:ascii="Arial" w:cs="Arial" w:eastAsia="Arial" w:hAnsi="Arial"/>
          <w:sz w:val="17"/>
          <w:szCs w:val="17"/>
          <w:color w:val="auto"/>
        </w:rPr>
      </w:pPr>
    </w:p>
    <w:p>
      <w:pPr>
        <w:ind w:left="560" w:hanging="163"/>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comments by securities analysts, or our failure to meet market expectations.</w:t>
      </w:r>
    </w:p>
    <w:p>
      <w:pPr>
        <w:spacing w:after="0" w:line="209" w:lineRule="exact"/>
        <w:rPr>
          <w:sz w:val="20"/>
          <w:szCs w:val="20"/>
          <w:color w:val="auto"/>
        </w:rPr>
      </w:pPr>
    </w:p>
    <w:p>
      <w:pPr>
        <w:ind w:right="40" w:firstLine="210"/>
        <w:spacing w:after="0" w:line="259" w:lineRule="auto"/>
        <w:rPr>
          <w:sz w:val="20"/>
          <w:szCs w:val="20"/>
          <w:color w:val="auto"/>
        </w:rPr>
      </w:pPr>
      <w:r>
        <w:rPr>
          <w:rFonts w:ascii="Arial" w:cs="Arial" w:eastAsia="Arial" w:hAnsi="Arial"/>
          <w:sz w:val="17"/>
          <w:szCs w:val="17"/>
          <w:color w:val="auto"/>
        </w:rPr>
        <w:t>Over the two-year period ending June 30, 2004, the closing price of our common stock as reported on the Nasdaq National Market and the Nasdaq SmallCap Market ranged from a high of $2.41 to a low of $0.51. As a result of this volatility, your investment in our stock is subject to substantial risk. Furthermore, the volatility of our stock price could negatively impact our ability to raise capital in the future.</w:t>
      </w:r>
    </w:p>
    <w:p>
      <w:pPr>
        <w:spacing w:after="0" w:line="15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If our common stock price drops significantly, we may be delisted from the NASDAQ SmallCap Market, which could eliminate the trading market for our common stock.</w:t>
      </w:r>
    </w:p>
    <w:p>
      <w:pPr>
        <w:spacing w:after="0" w:line="127" w:lineRule="exact"/>
        <w:rPr>
          <w:sz w:val="20"/>
          <w:szCs w:val="20"/>
          <w:color w:val="auto"/>
        </w:rPr>
      </w:pPr>
    </w:p>
    <w:p>
      <w:pPr>
        <w:ind w:right="80" w:firstLine="210"/>
        <w:spacing w:after="0" w:line="289" w:lineRule="auto"/>
        <w:rPr>
          <w:sz w:val="20"/>
          <w:szCs w:val="20"/>
          <w:color w:val="auto"/>
        </w:rPr>
      </w:pPr>
      <w:r>
        <w:rPr>
          <w:rFonts w:ascii="Arial" w:cs="Arial" w:eastAsia="Arial" w:hAnsi="Arial"/>
          <w:sz w:val="15"/>
          <w:szCs w:val="15"/>
          <w:color w:val="auto"/>
        </w:rPr>
        <w:t>Our common stock is quoted on the Nasdaq SmallCap Market. In order to continue to be included in the Nasdaq Small Cap Market, a company must meet Nasdaq’s maintenance criteria. The maintenance criteria most applicable to us requires a minimum bid price of $1.00 per share and additionally requires a minimum of</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$2.5 million in stockholders’ equity. Stockholders’ equity is composed of three fundamental sources: capital stock, additional paid-in-capital, and retained earnings. Capital stock represents ownership interest in the corporation. Additional paid-in-capital represents additional monies paid into the corporation by investors above the par value of shares issued. Retained earnings represents income (loss) that the corporation has accumulated as a result of its day-to-day operating activities. Our stockholders’ equity at the end of 2003 was $10,963,558. Failure to meet these maintenance criteria may result in the delisting of our common stock from the Nasdaq SmallCap Market. If our common stock were delisted, in order to have our common stock relisted on the SmallCap Market we would be required to meet the criteria for initial listing, which are more stringent than the maintenance criteria. Accordingly, we cannot assure you that if we were delisted we would be able to have our common stock relisted on the Nasdaq SmallCap Market. If our common stock were delisted from the Nasdaq SmallCap Market, we also may be required to pay damages to holders of our common stock under agreements we previously entered into with them in connection with equity financings. Finally, if our common stock were delisted from the Nasdaq SmallCap Market, it might become more difficult for us to raise funds through the sale of our common stock or securities convertible into our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contractually obligated to issue shares in the future, diluting your interest in us.</w:t>
      </w:r>
    </w:p>
    <w:p>
      <w:pPr>
        <w:spacing w:after="0" w:line="184" w:lineRule="exact"/>
        <w:rPr>
          <w:sz w:val="20"/>
          <w:szCs w:val="20"/>
          <w:color w:val="auto"/>
        </w:rPr>
      </w:pPr>
    </w:p>
    <w:p>
      <w:pPr>
        <w:jc w:val="both"/>
        <w:ind w:right="300" w:firstLine="201"/>
        <w:spacing w:after="0" w:line="283" w:lineRule="auto"/>
        <w:rPr>
          <w:sz w:val="20"/>
          <w:szCs w:val="20"/>
          <w:color w:val="auto"/>
        </w:rPr>
      </w:pPr>
      <w:r>
        <w:rPr>
          <w:rFonts w:ascii="Arial" w:cs="Arial" w:eastAsia="Arial" w:hAnsi="Arial"/>
          <w:sz w:val="16"/>
          <w:szCs w:val="16"/>
          <w:color w:val="auto"/>
        </w:rPr>
        <w:t>As of June 30, 2004, there were outstanding and exercisable warrants to purchase 6,038,430 shares of our common stock, at a weighted average exercise price of $2.09 per share. As of June 30, 2004, there were also outstanding and exercisable options to purchase 5,095,389 shares of our common stock, at a weighted average exercise price of $2.89 per share. Moreover, we expect to issue additional options to purchase shares of our</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5995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jc w:val="both"/>
        <w:ind w:right="180"/>
        <w:spacing w:after="0" w:line="259" w:lineRule="auto"/>
        <w:rPr>
          <w:sz w:val="20"/>
          <w:szCs w:val="20"/>
          <w:color w:val="auto"/>
        </w:rPr>
      </w:pPr>
      <w:r>
        <w:rPr>
          <w:rFonts w:ascii="Arial" w:cs="Arial" w:eastAsia="Arial" w:hAnsi="Arial"/>
          <w:sz w:val="17"/>
          <w:szCs w:val="17"/>
          <w:color w:val="auto"/>
        </w:rPr>
        <w:t>common stock to compensate employees, consultants and directors, and may issue additional shares to raise capital, to acquire other companies or technologies, to pay for services, or for other corporate purposes. Any such issuances will have the effect of further diluting the interest of the purchasers of the securities being sold in this offering.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 REGARDING FORWARD-LOOKING STATEMENTS</w:t>
      </w:r>
    </w:p>
    <w:p>
      <w:pPr>
        <w:spacing w:after="0" w:line="175" w:lineRule="exact"/>
        <w:rPr>
          <w:sz w:val="20"/>
          <w:szCs w:val="20"/>
          <w:color w:val="auto"/>
        </w:rPr>
      </w:pPr>
    </w:p>
    <w:p>
      <w:pPr>
        <w:ind w:firstLine="207"/>
        <w:spacing w:after="0" w:line="266" w:lineRule="auto"/>
        <w:rPr>
          <w:sz w:val="20"/>
          <w:szCs w:val="20"/>
          <w:color w:val="auto"/>
        </w:rPr>
      </w:pPr>
      <w:r>
        <w:rPr>
          <w:rFonts w:ascii="Arial" w:cs="Arial" w:eastAsia="Arial" w:hAnsi="Arial"/>
          <w:sz w:val="16"/>
          <w:szCs w:val="16"/>
          <w:color w:val="auto"/>
        </w:rPr>
        <w:t>This prospectus and the documents incorporated in this prospectus by reference may contain “forward-looking statements” within the meaning of Section 27A of the Securities Act of 1933, as amended (the “Securities Act”), and Section 21E of the Securities Exchange Act of 1934, as amended (the “Exchange Act”). These statements may be identified by the use of forward-looking words or phrases such as “anticipate,” “believe,” “could,” “expect,” “intend,” “look forward,” “may,” “planned,” “potential,” “should,” “will,” and “would.” These forward-looking statements reflect our current expectations and are based upon currently available data.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such as failure to obtain a corporate partner or partners to support the development of our stem cell programs, our inability to sell, assign or sublease our interest in our facilities related to our encapsulated cell technology program, risks of delays in, or adverse results from, our research, development and clinical testing programs, obsolescence of our technology, lack of available funding, competition from third parties, intellectual property rights of third parties, failure of our collaborators to perform, regulatory constraints, litigation and other risks to which we are subject.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USE OF PROCEEDS</w:t>
      </w:r>
    </w:p>
    <w:p>
      <w:pPr>
        <w:spacing w:after="0" w:line="188" w:lineRule="exact"/>
        <w:rPr>
          <w:sz w:val="20"/>
          <w:szCs w:val="20"/>
          <w:color w:val="auto"/>
        </w:rPr>
      </w:pPr>
    </w:p>
    <w:p>
      <w:pPr>
        <w:ind w:right="20" w:firstLine="201"/>
        <w:spacing w:after="0" w:line="255" w:lineRule="auto"/>
        <w:rPr>
          <w:sz w:val="20"/>
          <w:szCs w:val="20"/>
          <w:color w:val="auto"/>
        </w:rPr>
      </w:pPr>
      <w:r>
        <w:rPr>
          <w:rFonts w:ascii="Arial" w:cs="Arial" w:eastAsia="Arial" w:hAnsi="Arial"/>
          <w:sz w:val="17"/>
          <w:szCs w:val="17"/>
          <w:color w:val="auto"/>
        </w:rPr>
        <w:t>All net proceeds from the sale of the shares of common stock will go to the stockholders who offer and sell them. We will not receive any proceeds from this offering. We will receive approximately $7,245,900 if the warrants issued to the selling stockholders and the agent are exercised in full and the purchase price is paid in cash. Proceeds of such exercise, if any, will be used for working capital and general corporate purposes, as well as in connection with selected acquisitions that may be considered in the future or for other strategic purposes.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SELLING STOCKHOLDERS</w:t>
      </w:r>
    </w:p>
    <w:p>
      <w:pPr>
        <w:spacing w:after="0" w:line="175" w:lineRule="exact"/>
        <w:rPr>
          <w:sz w:val="20"/>
          <w:szCs w:val="20"/>
          <w:color w:val="auto"/>
        </w:rPr>
      </w:pPr>
    </w:p>
    <w:p>
      <w:pPr>
        <w:ind w:right="20" w:firstLine="210"/>
        <w:spacing w:after="0" w:line="269" w:lineRule="auto"/>
        <w:rPr>
          <w:sz w:val="20"/>
          <w:szCs w:val="20"/>
          <w:color w:val="auto"/>
        </w:rPr>
      </w:pPr>
      <w:r>
        <w:rPr>
          <w:rFonts w:ascii="Arial" w:cs="Arial" w:eastAsia="Arial" w:hAnsi="Arial"/>
          <w:sz w:val="16"/>
          <w:szCs w:val="16"/>
          <w:color w:val="auto"/>
        </w:rPr>
        <w:t>On June 16, 2004, we entered into a securities purchase agreement with each of Alpha Capital AKtinengesellschaft, Basso Equity Opportunity Holding Fund Ltd., Basso Multi-Strategy Holding Fund Ltd., C.E. Unterberg, Towbin Capital Partners I, L.P., Capital Ventures International, Castle Creek Healthcare Partners LLC, Cranshire Capital L.P., Enable Growth Partners L.P., Excalibur Limited Partnership, Greenwich Growth Fund Limited, Gryphon Master Fund, L.P., Heartland Value Plus Fund, Heimdall Investment Ltd., Iroquois Capital LP, JMG Capital Partners, LP, JMG Triton Offshore Fund, Ltd., Mainfield Enterprises, Inc., Omicron Master Trust, Portside Growth and Opportunity Fund, RHP Master Fund, Ltd., Richard Friedman, SF Capital Partners Ltd, Smithfield Fiduciary LLC, Solar Group S.A., SRG Capital, LLC, Stephen Rizzone, Stonestreet Limited Partnership, TCMP3 Partners, Truk International Fund, L.P., Truk Opportunity Fund, LLC, UBS O’Connor LLC f/b/o O’Connor PIPES Corporate Strategies Master Ltd., Vicis Capital Master Fund, Victus Capital, LP and Whalehaven Fund Limited. Under that agreement, we issued the following securities on June 17, 2004 in exchange for total cash consideration of approximately $20,003,200:</w:t>
      </w:r>
    </w:p>
    <w:p>
      <w:pPr>
        <w:spacing w:after="0" w:line="170" w:lineRule="exact"/>
        <w:rPr>
          <w:sz w:val="20"/>
          <w:szCs w:val="20"/>
          <w:color w:val="auto"/>
        </w:rPr>
      </w:pPr>
    </w:p>
    <w:p>
      <w:pPr>
        <w:ind w:left="560" w:hanging="163"/>
        <w:spacing w:after="0"/>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total of 13,160,000 shares of our common stock; and</w:t>
      </w:r>
    </w:p>
    <w:p>
      <w:pPr>
        <w:spacing w:after="0" w:line="208" w:lineRule="exact"/>
        <w:rPr>
          <w:rFonts w:ascii="Arial" w:cs="Arial" w:eastAsia="Arial" w:hAnsi="Arial"/>
          <w:sz w:val="17"/>
          <w:szCs w:val="17"/>
          <w:color w:val="auto"/>
        </w:rPr>
      </w:pPr>
    </w:p>
    <w:p>
      <w:pPr>
        <w:ind w:left="5680" w:right="3780" w:hanging="5283"/>
        <w:spacing w:after="0" w:line="519" w:lineRule="auto"/>
        <w:tabs>
          <w:tab w:leader="none" w:pos="578" w:val="left"/>
        </w:tabs>
        <w:numPr>
          <w:ilvl w:val="0"/>
          <w:numId w:val="5"/>
        </w:numPr>
        <w:rPr>
          <w:rFonts w:ascii="Arial" w:cs="Arial" w:eastAsia="Arial" w:hAnsi="Arial"/>
          <w:sz w:val="17"/>
          <w:szCs w:val="17"/>
          <w:color w:val="auto"/>
        </w:rPr>
      </w:pPr>
      <w:r>
        <w:rPr>
          <w:rFonts w:ascii="Arial" w:cs="Arial" w:eastAsia="Arial" w:hAnsi="Arial"/>
          <w:sz w:val="17"/>
          <w:szCs w:val="17"/>
          <w:color w:val="auto"/>
        </w:rPr>
        <w:t>five-year warrants to purchase 3,290,000 shares of common stock at an exercise price of $1.90 per share.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25995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520" w:firstLine="210"/>
        <w:spacing w:after="0" w:line="303" w:lineRule="auto"/>
        <w:rPr>
          <w:sz w:val="20"/>
          <w:szCs w:val="20"/>
          <w:color w:val="auto"/>
        </w:rPr>
      </w:pPr>
      <w:r>
        <w:rPr>
          <w:rFonts w:ascii="Arial" w:cs="Arial" w:eastAsia="Arial" w:hAnsi="Arial"/>
          <w:sz w:val="16"/>
          <w:szCs w:val="16"/>
          <w:color w:val="auto"/>
        </w:rPr>
        <w:t>C.E. Unterberg, Towbin LLC received fees totaling $1,200,192, expense reimbursement of approximately $25,000 and a warrant to purchase 526,400 shares of common stock for acting as placement agent in connection with the sale of securities under the securities purchase agreement.</w:t>
      </w:r>
    </w:p>
    <w:p>
      <w:pPr>
        <w:spacing w:after="0" w:line="117" w:lineRule="exact"/>
        <w:rPr>
          <w:sz w:val="20"/>
          <w:szCs w:val="20"/>
          <w:color w:val="auto"/>
        </w:rPr>
      </w:pPr>
    </w:p>
    <w:p>
      <w:pPr>
        <w:ind w:right="100" w:firstLine="210"/>
        <w:spacing w:after="0" w:line="295" w:lineRule="auto"/>
        <w:rPr>
          <w:sz w:val="20"/>
          <w:szCs w:val="20"/>
          <w:color w:val="auto"/>
        </w:rPr>
      </w:pPr>
      <w:r>
        <w:rPr>
          <w:rFonts w:ascii="Arial" w:cs="Arial" w:eastAsia="Arial" w:hAnsi="Arial"/>
          <w:sz w:val="15"/>
          <w:szCs w:val="15"/>
          <w:color w:val="auto"/>
        </w:rPr>
        <w:t>Pursuant to the securities purchase agreement with the selling stockholders, we filed a registration statement, of which this prospectus forms a part, in order to permit those stockholders to resell to the public the shares of common stock that they purchased pursuant to the securities purchase agreement and that they acquire upon any exercise of the warrants. We have registered the number of shares required under the securities purchase agreement, which number is based upon the actual number of shares sold to the selling stockholders under the securities purchase agreement and the number of shares issuable upon any exercise of the warrants, and a number of shares equal to the number of shares of common stock for which the warrant issued to the agent in connection with the private placement is exercisable.</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selling stockholders and the agent may sell up to 16,976,400 shares of our common stock pursuant to this prospectus.</w:t>
      </w:r>
    </w:p>
    <w:p>
      <w:pPr>
        <w:spacing w:after="0" w:line="171" w:lineRule="exact"/>
        <w:rPr>
          <w:sz w:val="20"/>
          <w:szCs w:val="20"/>
          <w:color w:val="auto"/>
        </w:rPr>
      </w:pPr>
    </w:p>
    <w:p>
      <w:pPr>
        <w:ind w:right="180" w:firstLine="207"/>
        <w:spacing w:after="0" w:line="271" w:lineRule="auto"/>
        <w:rPr>
          <w:sz w:val="20"/>
          <w:szCs w:val="20"/>
          <w:color w:val="auto"/>
        </w:rPr>
      </w:pPr>
      <w:r>
        <w:rPr>
          <w:rFonts w:ascii="Arial" w:cs="Arial" w:eastAsia="Arial" w:hAnsi="Arial"/>
          <w:sz w:val="16"/>
          <w:szCs w:val="16"/>
          <w:color w:val="auto"/>
        </w:rPr>
        <w:t>The following table sets forth information regarding beneficial ownership of our common stock by the selling stockholders as of June 30, 2004, and the number of shares of common stock listed as beneficially owned and potentially offered by this prospectus represents the number of shares of common stock actually owned as of June 30, 2004 and the number of shares issuable upon exercise of the warrants. Because the selling stockholders may offer all or some portion of the common stock listed in the table pursuant to this prospectus or otherwise, no estimate can be given as to the amount or percentage of common stock that will be held by the selling stockholders upon termination of the offering. The selling stockholders may sell all, part or none of the shares listed. The percentage of ownership shown in the table is based on 54,216,455 shares of common stock issued and outstanding as of June 30, 2004.</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tcPr>
          <w:p>
            <w:pPr>
              <w:jc w:val="center"/>
              <w:ind w:left="313"/>
              <w:spacing w:after="0"/>
              <w:rPr>
                <w:sz w:val="20"/>
                <w:szCs w:val="20"/>
                <w:color w:val="auto"/>
              </w:rPr>
            </w:pPr>
            <w:r>
              <w:rPr>
                <w:rFonts w:ascii="Arial" w:cs="Arial" w:eastAsia="Arial" w:hAnsi="Arial"/>
                <w:sz w:val="13"/>
                <w:szCs w:val="13"/>
                <w:b w:val="1"/>
                <w:bCs w:val="1"/>
                <w:color w:val="auto"/>
                <w:w w:val="92"/>
              </w:rPr>
              <w:t>Shares Owned and</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280" w:type="dxa"/>
            <w:vAlign w:val="bottom"/>
          </w:tcPr>
          <w:p>
            <w:pPr>
              <w:spacing w:after="0"/>
              <w:rPr>
                <w:sz w:val="13"/>
                <w:szCs w:val="13"/>
                <w:color w:val="auto"/>
              </w:rPr>
            </w:pPr>
          </w:p>
        </w:tc>
        <w:tc>
          <w:tcPr>
            <w:tcW w:w="13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3"/>
              </w:rPr>
              <w:t>Shares Owned And</w:t>
            </w:r>
          </w:p>
        </w:tc>
        <w:tc>
          <w:tcPr>
            <w:tcW w:w="0" w:type="dxa"/>
            <w:vAlign w:val="bottom"/>
          </w:tcPr>
          <w:p>
            <w:pPr>
              <w:spacing w:after="0"/>
              <w:rPr>
                <w:sz w:val="1"/>
                <w:szCs w:val="1"/>
                <w:color w:val="auto"/>
              </w:rPr>
            </w:pPr>
          </w:p>
        </w:tc>
      </w:tr>
      <w:tr>
        <w:trPr>
          <w:trHeight w:val="139"/>
        </w:trPr>
        <w:tc>
          <w:tcPr>
            <w:tcW w:w="5240" w:type="dxa"/>
            <w:vAlign w:val="bottom"/>
            <w:vMerge w:val="restart"/>
          </w:tcPr>
          <w:p>
            <w:pPr>
              <w:spacing w:after="0"/>
              <w:rPr>
                <w:sz w:val="20"/>
                <w:szCs w:val="20"/>
                <w:color w:val="auto"/>
              </w:rPr>
            </w:pPr>
            <w:r>
              <w:rPr>
                <w:rFonts w:ascii="Arial" w:cs="Arial" w:eastAsia="Arial" w:hAnsi="Arial"/>
                <w:sz w:val="13"/>
                <w:szCs w:val="13"/>
                <w:b w:val="1"/>
                <w:bCs w:val="1"/>
                <w:color w:val="auto"/>
              </w:rPr>
              <w:t>Selling Stockholder</w:t>
            </w:r>
          </w:p>
        </w:tc>
        <w:tc>
          <w:tcPr>
            <w:tcW w:w="300" w:type="dxa"/>
            <w:vAlign w:val="bottom"/>
          </w:tcPr>
          <w:p>
            <w:pPr>
              <w:spacing w:after="0"/>
              <w:rPr>
                <w:sz w:val="12"/>
                <w:szCs w:val="12"/>
                <w:color w:val="auto"/>
              </w:rPr>
            </w:pPr>
          </w:p>
        </w:tc>
        <w:tc>
          <w:tcPr>
            <w:tcW w:w="2020" w:type="dxa"/>
            <w:vAlign w:val="bottom"/>
          </w:tcPr>
          <w:p>
            <w:pPr>
              <w:jc w:val="center"/>
              <w:ind w:left="293"/>
              <w:spacing w:after="0" w:line="139" w:lineRule="exact"/>
              <w:rPr>
                <w:sz w:val="20"/>
                <w:szCs w:val="20"/>
                <w:color w:val="auto"/>
              </w:rPr>
            </w:pPr>
            <w:r>
              <w:rPr>
                <w:rFonts w:ascii="Arial" w:cs="Arial" w:eastAsia="Arial" w:hAnsi="Arial"/>
                <w:sz w:val="13"/>
                <w:szCs w:val="13"/>
                <w:b w:val="1"/>
                <w:bCs w:val="1"/>
                <w:color w:val="auto"/>
                <w:w w:val="92"/>
              </w:rPr>
              <w:t>Ownership Percentage</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4"/>
              </w:rPr>
              <w:t>Being</w:t>
            </w:r>
          </w:p>
        </w:tc>
        <w:tc>
          <w:tcPr>
            <w:tcW w:w="280" w:type="dxa"/>
            <w:vAlign w:val="bottom"/>
          </w:tcPr>
          <w:p>
            <w:pPr>
              <w:spacing w:after="0"/>
              <w:rPr>
                <w:sz w:val="12"/>
                <w:szCs w:val="12"/>
                <w:color w:val="auto"/>
              </w:rPr>
            </w:pPr>
          </w:p>
        </w:tc>
        <w:tc>
          <w:tcPr>
            <w:tcW w:w="1300" w:type="dxa"/>
            <w:vAlign w:val="bottom"/>
            <w:gridSpan w:val="3"/>
          </w:tcPr>
          <w:p>
            <w:pPr>
              <w:jc w:val="center"/>
              <w:spacing w:after="0" w:line="139" w:lineRule="exact"/>
              <w:rPr>
                <w:sz w:val="20"/>
                <w:szCs w:val="20"/>
                <w:color w:val="auto"/>
              </w:rPr>
            </w:pPr>
            <w:r>
              <w:rPr>
                <w:rFonts w:ascii="Arial" w:cs="Arial" w:eastAsia="Arial" w:hAnsi="Arial"/>
                <w:sz w:val="13"/>
                <w:szCs w:val="13"/>
                <w:b w:val="1"/>
                <w:bCs w:val="1"/>
                <w:color w:val="auto"/>
                <w:w w:val="92"/>
              </w:rPr>
              <w:t>Ownership Percentage</w:t>
            </w:r>
          </w:p>
        </w:tc>
        <w:tc>
          <w:tcPr>
            <w:tcW w:w="0" w:type="dxa"/>
            <w:vAlign w:val="bottom"/>
          </w:tcPr>
          <w:p>
            <w:pPr>
              <w:spacing w:after="0"/>
              <w:rPr>
                <w:sz w:val="1"/>
                <w:szCs w:val="1"/>
                <w:color w:val="auto"/>
              </w:rPr>
            </w:pPr>
          </w:p>
        </w:tc>
      </w:tr>
      <w:tr>
        <w:trPr>
          <w:trHeight w:val="174"/>
        </w:trPr>
        <w:tc>
          <w:tcPr>
            <w:tcW w:w="52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tcPr>
          <w:p>
            <w:pPr>
              <w:jc w:val="center"/>
              <w:ind w:left="313"/>
              <w:spacing w:after="0"/>
              <w:rPr>
                <w:sz w:val="20"/>
                <w:szCs w:val="20"/>
                <w:color w:val="auto"/>
              </w:rPr>
            </w:pPr>
            <w:r>
              <w:rPr>
                <w:rFonts w:ascii="Arial" w:cs="Arial" w:eastAsia="Arial" w:hAnsi="Arial"/>
                <w:sz w:val="13"/>
                <w:szCs w:val="13"/>
                <w:b w:val="1"/>
                <w:bCs w:val="1"/>
                <w:color w:val="auto"/>
                <w:w w:val="96"/>
              </w:rPr>
              <w:t>Prior to Offering (1)</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99"/>
              </w:rPr>
              <w:t>Offered</w:t>
            </w:r>
          </w:p>
        </w:tc>
        <w:tc>
          <w:tcPr>
            <w:tcW w:w="280" w:type="dxa"/>
            <w:vAlign w:val="bottom"/>
          </w:tcPr>
          <w:p>
            <w:pPr>
              <w:spacing w:after="0"/>
              <w:rPr>
                <w:sz w:val="15"/>
                <w:szCs w:val="15"/>
                <w:color w:val="auto"/>
              </w:rPr>
            </w:pPr>
          </w:p>
        </w:tc>
        <w:tc>
          <w:tcPr>
            <w:tcW w:w="13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8"/>
              </w:rPr>
              <w:t>After Offering (1)</w:t>
            </w:r>
          </w:p>
        </w:tc>
        <w:tc>
          <w:tcPr>
            <w:tcW w:w="0" w:type="dxa"/>
            <w:vAlign w:val="bottom"/>
          </w:tcPr>
          <w:p>
            <w:pPr>
              <w:spacing w:after="0"/>
              <w:rPr>
                <w:sz w:val="1"/>
                <w:szCs w:val="1"/>
                <w:color w:val="auto"/>
              </w:rPr>
            </w:pPr>
          </w:p>
        </w:tc>
      </w:tr>
      <w:tr>
        <w:trPr>
          <w:trHeight w:val="48"/>
        </w:trPr>
        <w:tc>
          <w:tcPr>
            <w:tcW w:w="524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0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6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5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5240" w:type="dxa"/>
            <w:vAlign w:val="bottom"/>
            <w:shd w:val="clear" w:color="auto" w:fill="EEEEEE"/>
          </w:tcPr>
          <w:p>
            <w:pPr>
              <w:spacing w:after="0"/>
              <w:rPr>
                <w:sz w:val="20"/>
                <w:szCs w:val="20"/>
                <w:color w:val="auto"/>
              </w:rPr>
            </w:pPr>
            <w:r>
              <w:rPr>
                <w:rFonts w:ascii="Arial" w:cs="Arial" w:eastAsia="Arial" w:hAnsi="Arial"/>
                <w:sz w:val="17"/>
                <w:szCs w:val="17"/>
                <w:color w:val="auto"/>
              </w:rPr>
              <w:t>Alpha Capital AKtinengesellschaft (2)</w:t>
            </w:r>
          </w:p>
        </w:tc>
        <w:tc>
          <w:tcPr>
            <w:tcW w:w="2320" w:type="dxa"/>
            <w:vAlign w:val="bottom"/>
            <w:gridSpan w:val="2"/>
            <w:shd w:val="clear" w:color="auto" w:fill="EEEEEE"/>
          </w:tcPr>
          <w:p>
            <w:pPr>
              <w:jc w:val="right"/>
              <w:ind w:right="733"/>
              <w:spacing w:after="0"/>
              <w:rPr>
                <w:sz w:val="20"/>
                <w:szCs w:val="20"/>
                <w:color w:val="auto"/>
              </w:rPr>
            </w:pPr>
            <w:r>
              <w:rPr>
                <w:rFonts w:ascii="Arial" w:cs="Arial" w:eastAsia="Arial" w:hAnsi="Arial"/>
                <w:sz w:val="17"/>
                <w:szCs w:val="17"/>
                <w:color w:val="auto"/>
              </w:rPr>
              <w:t>411,180</w:t>
            </w:r>
          </w:p>
        </w:tc>
        <w:tc>
          <w:tcPr>
            <w:tcW w:w="380" w:type="dxa"/>
            <w:vAlign w:val="bottom"/>
            <w:shd w:val="clear" w:color="auto" w:fill="EEEEEE"/>
          </w:tcPr>
          <w:p>
            <w:pPr>
              <w:jc w:val="right"/>
              <w:ind w:right="36"/>
              <w:spacing w:after="0"/>
              <w:rPr>
                <w:sz w:val="20"/>
                <w:szCs w:val="20"/>
                <w:color w:val="auto"/>
              </w:rPr>
            </w:pPr>
            <w:r>
              <w:rPr>
                <w:rFonts w:ascii="Arial" w:cs="Arial" w:eastAsia="Arial" w:hAnsi="Arial"/>
                <w:sz w:val="17"/>
                <w:szCs w:val="17"/>
                <w:color w:val="auto"/>
              </w:rPr>
              <w:t>*</w:t>
            </w:r>
          </w:p>
        </w:tc>
        <w:tc>
          <w:tcPr>
            <w:tcW w:w="1940" w:type="dxa"/>
            <w:vAlign w:val="bottom"/>
            <w:gridSpan w:val="2"/>
            <w:shd w:val="clear" w:color="auto" w:fill="EEEEEE"/>
          </w:tcPr>
          <w:p>
            <w:pPr>
              <w:jc w:val="right"/>
              <w:ind w:right="413"/>
              <w:spacing w:after="0"/>
              <w:rPr>
                <w:sz w:val="20"/>
                <w:szCs w:val="20"/>
                <w:color w:val="auto"/>
              </w:rPr>
            </w:pPr>
            <w:r>
              <w:rPr>
                <w:rFonts w:ascii="Arial" w:cs="Arial" w:eastAsia="Arial" w:hAnsi="Arial"/>
                <w:sz w:val="17"/>
                <w:szCs w:val="17"/>
                <w:color w:val="auto"/>
              </w:rPr>
              <w:t>411,180</w:t>
            </w:r>
          </w:p>
        </w:tc>
        <w:tc>
          <w:tcPr>
            <w:tcW w:w="940" w:type="dxa"/>
            <w:vAlign w:val="bottom"/>
            <w:gridSpan w:val="2"/>
            <w:shd w:val="clear" w:color="auto" w:fill="EEEEEE"/>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rPr>
                <w:sz w:val="20"/>
                <w:szCs w:val="20"/>
                <w:color w:val="auto"/>
              </w:rPr>
            </w:pPr>
            <w:r>
              <w:rPr>
                <w:rFonts w:ascii="Arial" w:cs="Arial" w:eastAsia="Arial" w:hAnsi="Arial"/>
                <w:sz w:val="17"/>
                <w:szCs w:val="17"/>
                <w:color w:val="auto"/>
              </w:rPr>
              <w:t>Basso Equity Opportunity Holding Fund Ltd. (3)</w:t>
            </w:r>
          </w:p>
        </w:tc>
        <w:tc>
          <w:tcPr>
            <w:tcW w:w="2320" w:type="dxa"/>
            <w:vAlign w:val="bottom"/>
            <w:gridSpan w:val="2"/>
          </w:tcPr>
          <w:p>
            <w:pPr>
              <w:jc w:val="right"/>
              <w:ind w:right="733"/>
              <w:spacing w:after="0"/>
              <w:rPr>
                <w:sz w:val="20"/>
                <w:szCs w:val="20"/>
                <w:color w:val="auto"/>
              </w:rPr>
            </w:pPr>
            <w:r>
              <w:rPr>
                <w:rFonts w:ascii="Arial" w:cs="Arial" w:eastAsia="Arial" w:hAnsi="Arial"/>
                <w:sz w:val="17"/>
                <w:szCs w:val="17"/>
                <w:color w:val="auto"/>
              </w:rPr>
              <w:t>555,100</w:t>
            </w:r>
          </w:p>
        </w:tc>
        <w:tc>
          <w:tcPr>
            <w:tcW w:w="3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940" w:type="dxa"/>
            <w:vAlign w:val="bottom"/>
            <w:gridSpan w:val="2"/>
          </w:tcPr>
          <w:p>
            <w:pPr>
              <w:jc w:val="right"/>
              <w:ind w:right="413"/>
              <w:spacing w:after="0"/>
              <w:rPr>
                <w:sz w:val="20"/>
                <w:szCs w:val="20"/>
                <w:color w:val="auto"/>
              </w:rPr>
            </w:pPr>
            <w:r>
              <w:rPr>
                <w:rFonts w:ascii="Arial" w:cs="Arial" w:eastAsia="Arial" w:hAnsi="Arial"/>
                <w:sz w:val="17"/>
                <w:szCs w:val="17"/>
                <w:color w:val="auto"/>
              </w:rPr>
              <w:t>555,100</w:t>
            </w:r>
          </w:p>
        </w:tc>
        <w:tc>
          <w:tcPr>
            <w:tcW w:w="940" w:type="dxa"/>
            <w:vAlign w:val="bottom"/>
            <w:gridSpan w:val="2"/>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shd w:val="clear" w:color="auto" w:fill="EEEEEE"/>
          </w:tcPr>
          <w:p>
            <w:pPr>
              <w:spacing w:after="0"/>
              <w:rPr>
                <w:sz w:val="20"/>
                <w:szCs w:val="20"/>
                <w:color w:val="auto"/>
              </w:rPr>
            </w:pPr>
            <w:r>
              <w:rPr>
                <w:rFonts w:ascii="Arial" w:cs="Arial" w:eastAsia="Arial" w:hAnsi="Arial"/>
                <w:sz w:val="17"/>
                <w:szCs w:val="17"/>
                <w:color w:val="auto"/>
              </w:rPr>
              <w:t>Basso Multi-Strategy Holding Fund Ltd. (4)</w:t>
            </w:r>
          </w:p>
        </w:tc>
        <w:tc>
          <w:tcPr>
            <w:tcW w:w="2320" w:type="dxa"/>
            <w:vAlign w:val="bottom"/>
            <w:gridSpan w:val="2"/>
            <w:shd w:val="clear" w:color="auto" w:fill="EEEEEE"/>
          </w:tcPr>
          <w:p>
            <w:pPr>
              <w:jc w:val="right"/>
              <w:ind w:right="733"/>
              <w:spacing w:after="0"/>
              <w:rPr>
                <w:sz w:val="20"/>
                <w:szCs w:val="20"/>
                <w:color w:val="auto"/>
              </w:rPr>
            </w:pPr>
            <w:r>
              <w:rPr>
                <w:rFonts w:ascii="Arial" w:cs="Arial" w:eastAsia="Arial" w:hAnsi="Arial"/>
                <w:sz w:val="17"/>
                <w:szCs w:val="17"/>
                <w:color w:val="auto"/>
              </w:rPr>
              <w:t>1,500,825</w:t>
            </w:r>
          </w:p>
        </w:tc>
        <w:tc>
          <w:tcPr>
            <w:tcW w:w="380" w:type="dxa"/>
            <w:vAlign w:val="bottom"/>
            <w:shd w:val="clear" w:color="auto" w:fill="EEEEEE"/>
          </w:tcPr>
          <w:p>
            <w:pPr>
              <w:jc w:val="right"/>
              <w:ind w:right="36"/>
              <w:spacing w:after="0"/>
              <w:rPr>
                <w:sz w:val="20"/>
                <w:szCs w:val="20"/>
                <w:color w:val="auto"/>
              </w:rPr>
            </w:pPr>
            <w:r>
              <w:rPr>
                <w:rFonts w:ascii="Arial" w:cs="Arial" w:eastAsia="Arial" w:hAnsi="Arial"/>
                <w:sz w:val="17"/>
                <w:szCs w:val="17"/>
                <w:color w:val="auto"/>
              </w:rPr>
              <w:t>*</w:t>
            </w:r>
          </w:p>
        </w:tc>
        <w:tc>
          <w:tcPr>
            <w:tcW w:w="1940" w:type="dxa"/>
            <w:vAlign w:val="bottom"/>
            <w:gridSpan w:val="2"/>
            <w:shd w:val="clear" w:color="auto" w:fill="EEEEEE"/>
          </w:tcPr>
          <w:p>
            <w:pPr>
              <w:jc w:val="right"/>
              <w:ind w:right="413"/>
              <w:spacing w:after="0"/>
              <w:rPr>
                <w:sz w:val="20"/>
                <w:szCs w:val="20"/>
                <w:color w:val="auto"/>
              </w:rPr>
            </w:pPr>
            <w:r>
              <w:rPr>
                <w:rFonts w:ascii="Arial" w:cs="Arial" w:eastAsia="Arial" w:hAnsi="Arial"/>
                <w:sz w:val="17"/>
                <w:szCs w:val="17"/>
                <w:color w:val="auto"/>
              </w:rPr>
              <w:t>1,500,825</w:t>
            </w:r>
          </w:p>
        </w:tc>
        <w:tc>
          <w:tcPr>
            <w:tcW w:w="940" w:type="dxa"/>
            <w:vAlign w:val="bottom"/>
            <w:gridSpan w:val="2"/>
            <w:shd w:val="clear" w:color="auto" w:fill="EEEEEE"/>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rPr>
                <w:sz w:val="20"/>
                <w:szCs w:val="20"/>
                <w:color w:val="auto"/>
              </w:rPr>
            </w:pPr>
            <w:r>
              <w:rPr>
                <w:rFonts w:ascii="Arial" w:cs="Arial" w:eastAsia="Arial" w:hAnsi="Arial"/>
                <w:sz w:val="17"/>
                <w:szCs w:val="17"/>
                <w:color w:val="auto"/>
              </w:rPr>
              <w:t>C.E. Unterberg, Towbin Capital Partners I, L.P. (5)</w:t>
            </w:r>
          </w:p>
        </w:tc>
        <w:tc>
          <w:tcPr>
            <w:tcW w:w="2320" w:type="dxa"/>
            <w:vAlign w:val="bottom"/>
            <w:gridSpan w:val="2"/>
          </w:tcPr>
          <w:p>
            <w:pPr>
              <w:jc w:val="right"/>
              <w:ind w:right="733"/>
              <w:spacing w:after="0"/>
              <w:rPr>
                <w:sz w:val="20"/>
                <w:szCs w:val="20"/>
                <w:color w:val="auto"/>
              </w:rPr>
            </w:pPr>
            <w:r>
              <w:rPr>
                <w:rFonts w:ascii="Arial" w:cs="Arial" w:eastAsia="Arial" w:hAnsi="Arial"/>
                <w:sz w:val="17"/>
                <w:szCs w:val="17"/>
                <w:color w:val="auto"/>
              </w:rPr>
              <w:t>631,250</w:t>
            </w:r>
          </w:p>
        </w:tc>
        <w:tc>
          <w:tcPr>
            <w:tcW w:w="3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940" w:type="dxa"/>
            <w:vAlign w:val="bottom"/>
            <w:gridSpan w:val="2"/>
          </w:tcPr>
          <w:p>
            <w:pPr>
              <w:jc w:val="right"/>
              <w:ind w:right="413"/>
              <w:spacing w:after="0"/>
              <w:rPr>
                <w:sz w:val="20"/>
                <w:szCs w:val="20"/>
                <w:color w:val="auto"/>
              </w:rPr>
            </w:pPr>
            <w:r>
              <w:rPr>
                <w:rFonts w:ascii="Arial" w:cs="Arial" w:eastAsia="Arial" w:hAnsi="Arial"/>
                <w:sz w:val="17"/>
                <w:szCs w:val="17"/>
                <w:color w:val="auto"/>
              </w:rPr>
              <w:t>631,250</w:t>
            </w:r>
          </w:p>
        </w:tc>
        <w:tc>
          <w:tcPr>
            <w:tcW w:w="940" w:type="dxa"/>
            <w:vAlign w:val="bottom"/>
            <w:gridSpan w:val="2"/>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shd w:val="clear" w:color="auto" w:fill="EEEEEE"/>
          </w:tcPr>
          <w:p>
            <w:pPr>
              <w:spacing w:after="0"/>
              <w:rPr>
                <w:sz w:val="20"/>
                <w:szCs w:val="20"/>
                <w:color w:val="auto"/>
              </w:rPr>
            </w:pPr>
            <w:r>
              <w:rPr>
                <w:rFonts w:ascii="Arial" w:cs="Arial" w:eastAsia="Arial" w:hAnsi="Arial"/>
                <w:sz w:val="17"/>
                <w:szCs w:val="17"/>
                <w:color w:val="auto"/>
              </w:rPr>
              <w:t>Capital Ventures International (6)</w:t>
            </w:r>
          </w:p>
        </w:tc>
        <w:tc>
          <w:tcPr>
            <w:tcW w:w="2320" w:type="dxa"/>
            <w:vAlign w:val="bottom"/>
            <w:gridSpan w:val="2"/>
            <w:shd w:val="clear" w:color="auto" w:fill="EEEEEE"/>
          </w:tcPr>
          <w:p>
            <w:pPr>
              <w:jc w:val="right"/>
              <w:ind w:right="733"/>
              <w:spacing w:after="0"/>
              <w:rPr>
                <w:sz w:val="20"/>
                <w:szCs w:val="20"/>
                <w:color w:val="auto"/>
              </w:rPr>
            </w:pPr>
            <w:r>
              <w:rPr>
                <w:rFonts w:ascii="Arial" w:cs="Arial" w:eastAsia="Arial" w:hAnsi="Arial"/>
                <w:sz w:val="17"/>
                <w:szCs w:val="17"/>
                <w:color w:val="auto"/>
              </w:rPr>
              <w:t>411,185</w:t>
            </w:r>
          </w:p>
        </w:tc>
        <w:tc>
          <w:tcPr>
            <w:tcW w:w="380" w:type="dxa"/>
            <w:vAlign w:val="bottom"/>
            <w:shd w:val="clear" w:color="auto" w:fill="EEEEEE"/>
          </w:tcPr>
          <w:p>
            <w:pPr>
              <w:jc w:val="right"/>
              <w:ind w:right="36"/>
              <w:spacing w:after="0"/>
              <w:rPr>
                <w:sz w:val="20"/>
                <w:szCs w:val="20"/>
                <w:color w:val="auto"/>
              </w:rPr>
            </w:pPr>
            <w:r>
              <w:rPr>
                <w:rFonts w:ascii="Arial" w:cs="Arial" w:eastAsia="Arial" w:hAnsi="Arial"/>
                <w:sz w:val="17"/>
                <w:szCs w:val="17"/>
                <w:color w:val="auto"/>
              </w:rPr>
              <w:t>*</w:t>
            </w:r>
          </w:p>
        </w:tc>
        <w:tc>
          <w:tcPr>
            <w:tcW w:w="1940" w:type="dxa"/>
            <w:vAlign w:val="bottom"/>
            <w:gridSpan w:val="2"/>
            <w:shd w:val="clear" w:color="auto" w:fill="EEEEEE"/>
          </w:tcPr>
          <w:p>
            <w:pPr>
              <w:jc w:val="right"/>
              <w:ind w:right="413"/>
              <w:spacing w:after="0"/>
              <w:rPr>
                <w:sz w:val="20"/>
                <w:szCs w:val="20"/>
                <w:color w:val="auto"/>
              </w:rPr>
            </w:pPr>
            <w:r>
              <w:rPr>
                <w:rFonts w:ascii="Arial" w:cs="Arial" w:eastAsia="Arial" w:hAnsi="Arial"/>
                <w:sz w:val="17"/>
                <w:szCs w:val="17"/>
                <w:color w:val="auto"/>
              </w:rPr>
              <w:t>411,185</w:t>
            </w:r>
          </w:p>
        </w:tc>
        <w:tc>
          <w:tcPr>
            <w:tcW w:w="940" w:type="dxa"/>
            <w:vAlign w:val="bottom"/>
            <w:gridSpan w:val="2"/>
            <w:shd w:val="clear" w:color="auto" w:fill="EEEEEE"/>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rPr>
                <w:sz w:val="20"/>
                <w:szCs w:val="20"/>
                <w:color w:val="auto"/>
              </w:rPr>
            </w:pPr>
            <w:r>
              <w:rPr>
                <w:rFonts w:ascii="Arial" w:cs="Arial" w:eastAsia="Arial" w:hAnsi="Arial"/>
                <w:sz w:val="17"/>
                <w:szCs w:val="17"/>
                <w:color w:val="auto"/>
              </w:rPr>
              <w:t>Castle Creek Healthcare Partners LLC (7)</w:t>
            </w:r>
          </w:p>
        </w:tc>
        <w:tc>
          <w:tcPr>
            <w:tcW w:w="2320" w:type="dxa"/>
            <w:vAlign w:val="bottom"/>
            <w:gridSpan w:val="2"/>
          </w:tcPr>
          <w:p>
            <w:pPr>
              <w:jc w:val="right"/>
              <w:ind w:right="733"/>
              <w:spacing w:after="0"/>
              <w:rPr>
                <w:sz w:val="20"/>
                <w:szCs w:val="20"/>
                <w:color w:val="auto"/>
              </w:rPr>
            </w:pPr>
            <w:r>
              <w:rPr>
                <w:rFonts w:ascii="Arial" w:cs="Arial" w:eastAsia="Arial" w:hAnsi="Arial"/>
                <w:sz w:val="17"/>
                <w:szCs w:val="17"/>
                <w:color w:val="auto"/>
              </w:rPr>
              <w:t>411,185</w:t>
            </w:r>
          </w:p>
        </w:tc>
        <w:tc>
          <w:tcPr>
            <w:tcW w:w="3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940" w:type="dxa"/>
            <w:vAlign w:val="bottom"/>
            <w:gridSpan w:val="2"/>
          </w:tcPr>
          <w:p>
            <w:pPr>
              <w:jc w:val="right"/>
              <w:ind w:right="413"/>
              <w:spacing w:after="0"/>
              <w:rPr>
                <w:sz w:val="20"/>
                <w:szCs w:val="20"/>
                <w:color w:val="auto"/>
              </w:rPr>
            </w:pPr>
            <w:r>
              <w:rPr>
                <w:rFonts w:ascii="Arial" w:cs="Arial" w:eastAsia="Arial" w:hAnsi="Arial"/>
                <w:sz w:val="17"/>
                <w:szCs w:val="17"/>
                <w:color w:val="auto"/>
              </w:rPr>
              <w:t>411,185</w:t>
            </w:r>
          </w:p>
        </w:tc>
        <w:tc>
          <w:tcPr>
            <w:tcW w:w="940" w:type="dxa"/>
            <w:vAlign w:val="bottom"/>
            <w:gridSpan w:val="2"/>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shd w:val="clear" w:color="auto" w:fill="EEEEEE"/>
          </w:tcPr>
          <w:p>
            <w:pPr>
              <w:spacing w:after="0"/>
              <w:rPr>
                <w:sz w:val="20"/>
                <w:szCs w:val="20"/>
                <w:color w:val="auto"/>
              </w:rPr>
            </w:pPr>
            <w:r>
              <w:rPr>
                <w:rFonts w:ascii="Arial" w:cs="Arial" w:eastAsia="Arial" w:hAnsi="Arial"/>
                <w:sz w:val="17"/>
                <w:szCs w:val="17"/>
                <w:color w:val="auto"/>
              </w:rPr>
              <w:t>Cranshire Capital L.P. (8)</w:t>
            </w:r>
          </w:p>
        </w:tc>
        <w:tc>
          <w:tcPr>
            <w:tcW w:w="2320" w:type="dxa"/>
            <w:vAlign w:val="bottom"/>
            <w:gridSpan w:val="2"/>
            <w:shd w:val="clear" w:color="auto" w:fill="EEEEEE"/>
          </w:tcPr>
          <w:p>
            <w:pPr>
              <w:jc w:val="right"/>
              <w:ind w:right="733"/>
              <w:spacing w:after="0"/>
              <w:rPr>
                <w:sz w:val="20"/>
                <w:szCs w:val="20"/>
                <w:color w:val="auto"/>
              </w:rPr>
            </w:pPr>
            <w:r>
              <w:rPr>
                <w:rFonts w:ascii="Arial" w:cs="Arial" w:eastAsia="Arial" w:hAnsi="Arial"/>
                <w:sz w:val="17"/>
                <w:szCs w:val="17"/>
                <w:color w:val="auto"/>
              </w:rPr>
              <w:t>822,370</w:t>
            </w:r>
          </w:p>
        </w:tc>
        <w:tc>
          <w:tcPr>
            <w:tcW w:w="380" w:type="dxa"/>
            <w:vAlign w:val="bottom"/>
            <w:shd w:val="clear" w:color="auto" w:fill="EEEEEE"/>
          </w:tcPr>
          <w:p>
            <w:pPr>
              <w:jc w:val="right"/>
              <w:ind w:right="36"/>
              <w:spacing w:after="0"/>
              <w:rPr>
                <w:sz w:val="20"/>
                <w:szCs w:val="20"/>
                <w:color w:val="auto"/>
              </w:rPr>
            </w:pPr>
            <w:r>
              <w:rPr>
                <w:rFonts w:ascii="Arial" w:cs="Arial" w:eastAsia="Arial" w:hAnsi="Arial"/>
                <w:sz w:val="17"/>
                <w:szCs w:val="17"/>
                <w:color w:val="auto"/>
              </w:rPr>
              <w:t>*</w:t>
            </w:r>
          </w:p>
        </w:tc>
        <w:tc>
          <w:tcPr>
            <w:tcW w:w="1940" w:type="dxa"/>
            <w:vAlign w:val="bottom"/>
            <w:gridSpan w:val="2"/>
            <w:shd w:val="clear" w:color="auto" w:fill="EEEEEE"/>
          </w:tcPr>
          <w:p>
            <w:pPr>
              <w:jc w:val="right"/>
              <w:ind w:right="413"/>
              <w:spacing w:after="0"/>
              <w:rPr>
                <w:sz w:val="20"/>
                <w:szCs w:val="20"/>
                <w:color w:val="auto"/>
              </w:rPr>
            </w:pPr>
            <w:r>
              <w:rPr>
                <w:rFonts w:ascii="Arial" w:cs="Arial" w:eastAsia="Arial" w:hAnsi="Arial"/>
                <w:sz w:val="17"/>
                <w:szCs w:val="17"/>
                <w:color w:val="auto"/>
              </w:rPr>
              <w:t>822,370</w:t>
            </w:r>
          </w:p>
        </w:tc>
        <w:tc>
          <w:tcPr>
            <w:tcW w:w="940" w:type="dxa"/>
            <w:vAlign w:val="bottom"/>
            <w:gridSpan w:val="2"/>
            <w:shd w:val="clear" w:color="auto" w:fill="EEEEEE"/>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rPr>
                <w:sz w:val="20"/>
                <w:szCs w:val="20"/>
                <w:color w:val="auto"/>
              </w:rPr>
            </w:pPr>
            <w:r>
              <w:rPr>
                <w:rFonts w:ascii="Arial" w:cs="Arial" w:eastAsia="Arial" w:hAnsi="Arial"/>
                <w:sz w:val="17"/>
                <w:szCs w:val="17"/>
                <w:color w:val="auto"/>
              </w:rPr>
              <w:t>Enable Growth Partners L.P. (9)</w:t>
            </w:r>
          </w:p>
        </w:tc>
        <w:tc>
          <w:tcPr>
            <w:tcW w:w="2320" w:type="dxa"/>
            <w:vAlign w:val="bottom"/>
            <w:gridSpan w:val="2"/>
          </w:tcPr>
          <w:p>
            <w:pPr>
              <w:jc w:val="right"/>
              <w:ind w:right="733"/>
              <w:spacing w:after="0"/>
              <w:rPr>
                <w:sz w:val="20"/>
                <w:szCs w:val="20"/>
                <w:color w:val="auto"/>
              </w:rPr>
            </w:pPr>
            <w:r>
              <w:rPr>
                <w:rFonts w:ascii="Arial" w:cs="Arial" w:eastAsia="Arial" w:hAnsi="Arial"/>
                <w:sz w:val="17"/>
                <w:szCs w:val="17"/>
                <w:color w:val="auto"/>
              </w:rPr>
              <w:t>287,830</w:t>
            </w:r>
          </w:p>
        </w:tc>
        <w:tc>
          <w:tcPr>
            <w:tcW w:w="3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940" w:type="dxa"/>
            <w:vAlign w:val="bottom"/>
            <w:gridSpan w:val="2"/>
          </w:tcPr>
          <w:p>
            <w:pPr>
              <w:jc w:val="right"/>
              <w:ind w:right="413"/>
              <w:spacing w:after="0"/>
              <w:rPr>
                <w:sz w:val="20"/>
                <w:szCs w:val="20"/>
                <w:color w:val="auto"/>
              </w:rPr>
            </w:pPr>
            <w:r>
              <w:rPr>
                <w:rFonts w:ascii="Arial" w:cs="Arial" w:eastAsia="Arial" w:hAnsi="Arial"/>
                <w:sz w:val="17"/>
                <w:szCs w:val="17"/>
                <w:color w:val="auto"/>
              </w:rPr>
              <w:t>287,830</w:t>
            </w:r>
          </w:p>
        </w:tc>
        <w:tc>
          <w:tcPr>
            <w:tcW w:w="940" w:type="dxa"/>
            <w:vAlign w:val="bottom"/>
            <w:gridSpan w:val="2"/>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shd w:val="clear" w:color="auto" w:fill="EEEEEE"/>
          </w:tcPr>
          <w:p>
            <w:pPr>
              <w:spacing w:after="0"/>
              <w:rPr>
                <w:sz w:val="20"/>
                <w:szCs w:val="20"/>
                <w:color w:val="auto"/>
              </w:rPr>
            </w:pPr>
            <w:r>
              <w:rPr>
                <w:rFonts w:ascii="Arial" w:cs="Arial" w:eastAsia="Arial" w:hAnsi="Arial"/>
                <w:sz w:val="17"/>
                <w:szCs w:val="17"/>
                <w:color w:val="auto"/>
              </w:rPr>
              <w:t>Excalibur Limited Partnership (10)</w:t>
            </w:r>
          </w:p>
        </w:tc>
        <w:tc>
          <w:tcPr>
            <w:tcW w:w="2320" w:type="dxa"/>
            <w:vAlign w:val="bottom"/>
            <w:gridSpan w:val="2"/>
            <w:shd w:val="clear" w:color="auto" w:fill="EEEEEE"/>
          </w:tcPr>
          <w:p>
            <w:pPr>
              <w:jc w:val="right"/>
              <w:ind w:right="733"/>
              <w:spacing w:after="0"/>
              <w:rPr>
                <w:sz w:val="20"/>
                <w:szCs w:val="20"/>
                <w:color w:val="auto"/>
              </w:rPr>
            </w:pPr>
            <w:r>
              <w:rPr>
                <w:rFonts w:ascii="Arial" w:cs="Arial" w:eastAsia="Arial" w:hAnsi="Arial"/>
                <w:sz w:val="17"/>
                <w:szCs w:val="17"/>
                <w:color w:val="auto"/>
              </w:rPr>
              <w:t>412,500</w:t>
            </w:r>
          </w:p>
        </w:tc>
        <w:tc>
          <w:tcPr>
            <w:tcW w:w="380" w:type="dxa"/>
            <w:vAlign w:val="bottom"/>
            <w:shd w:val="clear" w:color="auto" w:fill="EEEEEE"/>
          </w:tcPr>
          <w:p>
            <w:pPr>
              <w:jc w:val="right"/>
              <w:ind w:right="36"/>
              <w:spacing w:after="0"/>
              <w:rPr>
                <w:sz w:val="20"/>
                <w:szCs w:val="20"/>
                <w:color w:val="auto"/>
              </w:rPr>
            </w:pPr>
            <w:r>
              <w:rPr>
                <w:rFonts w:ascii="Arial" w:cs="Arial" w:eastAsia="Arial" w:hAnsi="Arial"/>
                <w:sz w:val="17"/>
                <w:szCs w:val="17"/>
                <w:color w:val="auto"/>
              </w:rPr>
              <w:t>*</w:t>
            </w:r>
          </w:p>
        </w:tc>
        <w:tc>
          <w:tcPr>
            <w:tcW w:w="1940" w:type="dxa"/>
            <w:vAlign w:val="bottom"/>
            <w:gridSpan w:val="2"/>
            <w:shd w:val="clear" w:color="auto" w:fill="EEEEEE"/>
          </w:tcPr>
          <w:p>
            <w:pPr>
              <w:jc w:val="right"/>
              <w:ind w:right="413"/>
              <w:spacing w:after="0"/>
              <w:rPr>
                <w:sz w:val="20"/>
                <w:szCs w:val="20"/>
                <w:color w:val="auto"/>
              </w:rPr>
            </w:pPr>
            <w:r>
              <w:rPr>
                <w:rFonts w:ascii="Arial" w:cs="Arial" w:eastAsia="Arial" w:hAnsi="Arial"/>
                <w:sz w:val="17"/>
                <w:szCs w:val="17"/>
                <w:color w:val="auto"/>
              </w:rPr>
              <w:t>412,500</w:t>
            </w:r>
          </w:p>
        </w:tc>
        <w:tc>
          <w:tcPr>
            <w:tcW w:w="940" w:type="dxa"/>
            <w:vAlign w:val="bottom"/>
            <w:gridSpan w:val="2"/>
            <w:shd w:val="clear" w:color="auto" w:fill="EEEEEE"/>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rPr>
                <w:sz w:val="20"/>
                <w:szCs w:val="20"/>
                <w:color w:val="auto"/>
              </w:rPr>
            </w:pPr>
            <w:r>
              <w:rPr>
                <w:rFonts w:ascii="Arial" w:cs="Arial" w:eastAsia="Arial" w:hAnsi="Arial"/>
                <w:sz w:val="17"/>
                <w:szCs w:val="17"/>
                <w:color w:val="auto"/>
              </w:rPr>
              <w:t>Greenwich Growth Fund Limited (11)</w:t>
            </w:r>
          </w:p>
        </w:tc>
        <w:tc>
          <w:tcPr>
            <w:tcW w:w="2320" w:type="dxa"/>
            <w:vAlign w:val="bottom"/>
            <w:gridSpan w:val="2"/>
          </w:tcPr>
          <w:p>
            <w:pPr>
              <w:jc w:val="right"/>
              <w:ind w:right="733"/>
              <w:spacing w:after="0"/>
              <w:rPr>
                <w:sz w:val="20"/>
                <w:szCs w:val="20"/>
                <w:color w:val="auto"/>
              </w:rPr>
            </w:pPr>
            <w:r>
              <w:rPr>
                <w:rFonts w:ascii="Arial" w:cs="Arial" w:eastAsia="Arial" w:hAnsi="Arial"/>
                <w:sz w:val="17"/>
                <w:szCs w:val="17"/>
                <w:color w:val="auto"/>
              </w:rPr>
              <w:t>82,235</w:t>
            </w:r>
          </w:p>
        </w:tc>
        <w:tc>
          <w:tcPr>
            <w:tcW w:w="3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940" w:type="dxa"/>
            <w:vAlign w:val="bottom"/>
            <w:gridSpan w:val="2"/>
          </w:tcPr>
          <w:p>
            <w:pPr>
              <w:jc w:val="right"/>
              <w:ind w:right="413"/>
              <w:spacing w:after="0"/>
              <w:rPr>
                <w:sz w:val="20"/>
                <w:szCs w:val="20"/>
                <w:color w:val="auto"/>
              </w:rPr>
            </w:pPr>
            <w:r>
              <w:rPr>
                <w:rFonts w:ascii="Arial" w:cs="Arial" w:eastAsia="Arial" w:hAnsi="Arial"/>
                <w:sz w:val="17"/>
                <w:szCs w:val="17"/>
                <w:color w:val="auto"/>
              </w:rPr>
              <w:t>82,235</w:t>
            </w:r>
          </w:p>
        </w:tc>
        <w:tc>
          <w:tcPr>
            <w:tcW w:w="940" w:type="dxa"/>
            <w:vAlign w:val="bottom"/>
            <w:gridSpan w:val="2"/>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shd w:val="clear" w:color="auto" w:fill="EEEEEE"/>
          </w:tcPr>
          <w:p>
            <w:pPr>
              <w:spacing w:after="0"/>
              <w:rPr>
                <w:sz w:val="20"/>
                <w:szCs w:val="20"/>
                <w:color w:val="auto"/>
              </w:rPr>
            </w:pPr>
            <w:r>
              <w:rPr>
                <w:rFonts w:ascii="Arial" w:cs="Arial" w:eastAsia="Arial" w:hAnsi="Arial"/>
                <w:sz w:val="17"/>
                <w:szCs w:val="17"/>
                <w:color w:val="auto"/>
              </w:rPr>
              <w:t>Gryphon Master Fund, L.P. (12)</w:t>
            </w:r>
          </w:p>
        </w:tc>
        <w:tc>
          <w:tcPr>
            <w:tcW w:w="2320" w:type="dxa"/>
            <w:vAlign w:val="bottom"/>
            <w:gridSpan w:val="2"/>
            <w:shd w:val="clear" w:color="auto" w:fill="EEEEEE"/>
          </w:tcPr>
          <w:p>
            <w:pPr>
              <w:jc w:val="right"/>
              <w:ind w:right="733"/>
              <w:spacing w:after="0"/>
              <w:rPr>
                <w:sz w:val="20"/>
                <w:szCs w:val="20"/>
                <w:color w:val="auto"/>
              </w:rPr>
            </w:pPr>
            <w:r>
              <w:rPr>
                <w:rFonts w:ascii="Arial" w:cs="Arial" w:eastAsia="Arial" w:hAnsi="Arial"/>
                <w:sz w:val="17"/>
                <w:szCs w:val="17"/>
                <w:color w:val="auto"/>
              </w:rPr>
              <w:t>1,027,965</w:t>
            </w:r>
          </w:p>
        </w:tc>
        <w:tc>
          <w:tcPr>
            <w:tcW w:w="380" w:type="dxa"/>
            <w:vAlign w:val="bottom"/>
            <w:shd w:val="clear" w:color="auto" w:fill="EEEEEE"/>
          </w:tcPr>
          <w:p>
            <w:pPr>
              <w:jc w:val="right"/>
              <w:ind w:right="36"/>
              <w:spacing w:after="0"/>
              <w:rPr>
                <w:sz w:val="20"/>
                <w:szCs w:val="20"/>
                <w:color w:val="auto"/>
              </w:rPr>
            </w:pPr>
            <w:r>
              <w:rPr>
                <w:rFonts w:ascii="Arial" w:cs="Arial" w:eastAsia="Arial" w:hAnsi="Arial"/>
                <w:sz w:val="17"/>
                <w:szCs w:val="17"/>
                <w:color w:val="auto"/>
              </w:rPr>
              <w:t>*</w:t>
            </w:r>
          </w:p>
        </w:tc>
        <w:tc>
          <w:tcPr>
            <w:tcW w:w="1940" w:type="dxa"/>
            <w:vAlign w:val="bottom"/>
            <w:gridSpan w:val="2"/>
            <w:shd w:val="clear" w:color="auto" w:fill="EEEEEE"/>
          </w:tcPr>
          <w:p>
            <w:pPr>
              <w:jc w:val="right"/>
              <w:ind w:right="413"/>
              <w:spacing w:after="0"/>
              <w:rPr>
                <w:sz w:val="20"/>
                <w:szCs w:val="20"/>
                <w:color w:val="auto"/>
              </w:rPr>
            </w:pPr>
            <w:r>
              <w:rPr>
                <w:rFonts w:ascii="Arial" w:cs="Arial" w:eastAsia="Arial" w:hAnsi="Arial"/>
                <w:sz w:val="17"/>
                <w:szCs w:val="17"/>
                <w:color w:val="auto"/>
              </w:rPr>
              <w:t>1,027,965</w:t>
            </w:r>
          </w:p>
        </w:tc>
        <w:tc>
          <w:tcPr>
            <w:tcW w:w="940" w:type="dxa"/>
            <w:vAlign w:val="bottom"/>
            <w:gridSpan w:val="2"/>
            <w:shd w:val="clear" w:color="auto" w:fill="EEEEEE"/>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rPr>
                <w:sz w:val="20"/>
                <w:szCs w:val="20"/>
                <w:color w:val="auto"/>
              </w:rPr>
            </w:pPr>
            <w:r>
              <w:rPr>
                <w:rFonts w:ascii="Arial" w:cs="Arial" w:eastAsia="Arial" w:hAnsi="Arial"/>
                <w:sz w:val="17"/>
                <w:szCs w:val="17"/>
                <w:color w:val="auto"/>
              </w:rPr>
              <w:t>Heartland Value Plus Fund (13)</w:t>
            </w:r>
          </w:p>
        </w:tc>
        <w:tc>
          <w:tcPr>
            <w:tcW w:w="2320" w:type="dxa"/>
            <w:vAlign w:val="bottom"/>
            <w:gridSpan w:val="2"/>
          </w:tcPr>
          <w:p>
            <w:pPr>
              <w:jc w:val="right"/>
              <w:ind w:right="733"/>
              <w:spacing w:after="0"/>
              <w:rPr>
                <w:sz w:val="20"/>
                <w:szCs w:val="20"/>
                <w:color w:val="auto"/>
              </w:rPr>
            </w:pPr>
            <w:r>
              <w:rPr>
                <w:rFonts w:ascii="Arial" w:cs="Arial" w:eastAsia="Arial" w:hAnsi="Arial"/>
                <w:sz w:val="17"/>
                <w:szCs w:val="17"/>
                <w:color w:val="auto"/>
              </w:rPr>
              <w:t>2,878,290</w:t>
            </w:r>
          </w:p>
        </w:tc>
        <w:tc>
          <w:tcPr>
            <w:tcW w:w="3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940" w:type="dxa"/>
            <w:vAlign w:val="bottom"/>
            <w:gridSpan w:val="2"/>
          </w:tcPr>
          <w:p>
            <w:pPr>
              <w:jc w:val="right"/>
              <w:ind w:right="413"/>
              <w:spacing w:after="0"/>
              <w:rPr>
                <w:sz w:val="20"/>
                <w:szCs w:val="20"/>
                <w:color w:val="auto"/>
              </w:rPr>
            </w:pPr>
            <w:r>
              <w:rPr>
                <w:rFonts w:ascii="Arial" w:cs="Arial" w:eastAsia="Arial" w:hAnsi="Arial"/>
                <w:sz w:val="17"/>
                <w:szCs w:val="17"/>
                <w:color w:val="auto"/>
              </w:rPr>
              <w:t>2,878,290</w:t>
            </w:r>
          </w:p>
        </w:tc>
        <w:tc>
          <w:tcPr>
            <w:tcW w:w="940" w:type="dxa"/>
            <w:vAlign w:val="bottom"/>
            <w:gridSpan w:val="2"/>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shd w:val="clear" w:color="auto" w:fill="EEEEEE"/>
          </w:tcPr>
          <w:p>
            <w:pPr>
              <w:spacing w:after="0"/>
              <w:rPr>
                <w:sz w:val="20"/>
                <w:szCs w:val="20"/>
                <w:color w:val="auto"/>
              </w:rPr>
            </w:pPr>
            <w:r>
              <w:rPr>
                <w:rFonts w:ascii="Arial" w:cs="Arial" w:eastAsia="Arial" w:hAnsi="Arial"/>
                <w:sz w:val="17"/>
                <w:szCs w:val="17"/>
                <w:color w:val="auto"/>
              </w:rPr>
              <w:t>Heimdall Investment Ltd. (14)</w:t>
            </w:r>
          </w:p>
        </w:tc>
        <w:tc>
          <w:tcPr>
            <w:tcW w:w="2320" w:type="dxa"/>
            <w:vAlign w:val="bottom"/>
            <w:gridSpan w:val="2"/>
            <w:shd w:val="clear" w:color="auto" w:fill="EEEEEE"/>
          </w:tcPr>
          <w:p>
            <w:pPr>
              <w:jc w:val="right"/>
              <w:ind w:right="733"/>
              <w:spacing w:after="0"/>
              <w:rPr>
                <w:sz w:val="20"/>
                <w:szCs w:val="20"/>
                <w:color w:val="auto"/>
              </w:rPr>
            </w:pPr>
            <w:r>
              <w:rPr>
                <w:rFonts w:ascii="Arial" w:cs="Arial" w:eastAsia="Arial" w:hAnsi="Arial"/>
                <w:sz w:val="17"/>
                <w:szCs w:val="17"/>
                <w:color w:val="auto"/>
              </w:rPr>
              <w:t>616,775</w:t>
            </w:r>
          </w:p>
        </w:tc>
        <w:tc>
          <w:tcPr>
            <w:tcW w:w="380" w:type="dxa"/>
            <w:vAlign w:val="bottom"/>
            <w:shd w:val="clear" w:color="auto" w:fill="EEEEEE"/>
          </w:tcPr>
          <w:p>
            <w:pPr>
              <w:jc w:val="right"/>
              <w:ind w:right="36"/>
              <w:spacing w:after="0"/>
              <w:rPr>
                <w:sz w:val="20"/>
                <w:szCs w:val="20"/>
                <w:color w:val="auto"/>
              </w:rPr>
            </w:pPr>
            <w:r>
              <w:rPr>
                <w:rFonts w:ascii="Arial" w:cs="Arial" w:eastAsia="Arial" w:hAnsi="Arial"/>
                <w:sz w:val="17"/>
                <w:szCs w:val="17"/>
                <w:color w:val="auto"/>
              </w:rPr>
              <w:t>*</w:t>
            </w:r>
          </w:p>
        </w:tc>
        <w:tc>
          <w:tcPr>
            <w:tcW w:w="1940" w:type="dxa"/>
            <w:vAlign w:val="bottom"/>
            <w:gridSpan w:val="2"/>
            <w:shd w:val="clear" w:color="auto" w:fill="EEEEEE"/>
          </w:tcPr>
          <w:p>
            <w:pPr>
              <w:jc w:val="right"/>
              <w:ind w:right="413"/>
              <w:spacing w:after="0"/>
              <w:rPr>
                <w:sz w:val="20"/>
                <w:szCs w:val="20"/>
                <w:color w:val="auto"/>
              </w:rPr>
            </w:pPr>
            <w:r>
              <w:rPr>
                <w:rFonts w:ascii="Arial" w:cs="Arial" w:eastAsia="Arial" w:hAnsi="Arial"/>
                <w:sz w:val="17"/>
                <w:szCs w:val="17"/>
                <w:color w:val="auto"/>
              </w:rPr>
              <w:t>616,775</w:t>
            </w:r>
          </w:p>
        </w:tc>
        <w:tc>
          <w:tcPr>
            <w:tcW w:w="940" w:type="dxa"/>
            <w:vAlign w:val="bottom"/>
            <w:gridSpan w:val="2"/>
            <w:shd w:val="clear" w:color="auto" w:fill="EEEEEE"/>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rPr>
                <w:sz w:val="20"/>
                <w:szCs w:val="20"/>
                <w:color w:val="auto"/>
              </w:rPr>
            </w:pPr>
            <w:r>
              <w:rPr>
                <w:rFonts w:ascii="Arial" w:cs="Arial" w:eastAsia="Arial" w:hAnsi="Arial"/>
                <w:sz w:val="17"/>
                <w:szCs w:val="17"/>
                <w:color w:val="auto"/>
              </w:rPr>
              <w:t>Iroquois Capital LP (15)</w:t>
            </w:r>
          </w:p>
        </w:tc>
        <w:tc>
          <w:tcPr>
            <w:tcW w:w="2320" w:type="dxa"/>
            <w:vAlign w:val="bottom"/>
            <w:gridSpan w:val="2"/>
          </w:tcPr>
          <w:p>
            <w:pPr>
              <w:jc w:val="right"/>
              <w:ind w:right="733"/>
              <w:spacing w:after="0"/>
              <w:rPr>
                <w:sz w:val="20"/>
                <w:szCs w:val="20"/>
                <w:color w:val="auto"/>
              </w:rPr>
            </w:pPr>
            <w:r>
              <w:rPr>
                <w:rFonts w:ascii="Arial" w:cs="Arial" w:eastAsia="Arial" w:hAnsi="Arial"/>
                <w:sz w:val="17"/>
                <w:szCs w:val="17"/>
                <w:color w:val="auto"/>
              </w:rPr>
              <w:t>411,185</w:t>
            </w:r>
          </w:p>
        </w:tc>
        <w:tc>
          <w:tcPr>
            <w:tcW w:w="3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940" w:type="dxa"/>
            <w:vAlign w:val="bottom"/>
            <w:gridSpan w:val="2"/>
          </w:tcPr>
          <w:p>
            <w:pPr>
              <w:jc w:val="right"/>
              <w:ind w:right="413"/>
              <w:spacing w:after="0"/>
              <w:rPr>
                <w:sz w:val="20"/>
                <w:szCs w:val="20"/>
                <w:color w:val="auto"/>
              </w:rPr>
            </w:pPr>
            <w:r>
              <w:rPr>
                <w:rFonts w:ascii="Arial" w:cs="Arial" w:eastAsia="Arial" w:hAnsi="Arial"/>
                <w:sz w:val="17"/>
                <w:szCs w:val="17"/>
                <w:color w:val="auto"/>
              </w:rPr>
              <w:t>411,185</w:t>
            </w:r>
          </w:p>
        </w:tc>
        <w:tc>
          <w:tcPr>
            <w:tcW w:w="940" w:type="dxa"/>
            <w:vAlign w:val="bottom"/>
            <w:gridSpan w:val="2"/>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shd w:val="clear" w:color="auto" w:fill="EEEEEE"/>
          </w:tcPr>
          <w:p>
            <w:pPr>
              <w:spacing w:after="0"/>
              <w:rPr>
                <w:sz w:val="20"/>
                <w:szCs w:val="20"/>
                <w:color w:val="auto"/>
              </w:rPr>
            </w:pPr>
            <w:r>
              <w:rPr>
                <w:rFonts w:ascii="Arial" w:cs="Arial" w:eastAsia="Arial" w:hAnsi="Arial"/>
                <w:sz w:val="17"/>
                <w:szCs w:val="17"/>
                <w:color w:val="auto"/>
              </w:rPr>
              <w:t>JMG Capital Partners, LP (16)</w:t>
            </w:r>
          </w:p>
        </w:tc>
        <w:tc>
          <w:tcPr>
            <w:tcW w:w="2320" w:type="dxa"/>
            <w:vAlign w:val="bottom"/>
            <w:gridSpan w:val="2"/>
            <w:shd w:val="clear" w:color="auto" w:fill="EEEEEE"/>
          </w:tcPr>
          <w:p>
            <w:pPr>
              <w:jc w:val="right"/>
              <w:ind w:right="733"/>
              <w:spacing w:after="0"/>
              <w:rPr>
                <w:sz w:val="20"/>
                <w:szCs w:val="20"/>
                <w:color w:val="auto"/>
              </w:rPr>
            </w:pPr>
            <w:r>
              <w:rPr>
                <w:rFonts w:ascii="Arial" w:cs="Arial" w:eastAsia="Arial" w:hAnsi="Arial"/>
                <w:sz w:val="17"/>
                <w:szCs w:val="17"/>
                <w:color w:val="auto"/>
              </w:rPr>
              <w:t>616,775</w:t>
            </w:r>
          </w:p>
        </w:tc>
        <w:tc>
          <w:tcPr>
            <w:tcW w:w="380" w:type="dxa"/>
            <w:vAlign w:val="bottom"/>
            <w:shd w:val="clear" w:color="auto" w:fill="EEEEEE"/>
          </w:tcPr>
          <w:p>
            <w:pPr>
              <w:jc w:val="right"/>
              <w:ind w:right="36"/>
              <w:spacing w:after="0"/>
              <w:rPr>
                <w:sz w:val="20"/>
                <w:szCs w:val="20"/>
                <w:color w:val="auto"/>
              </w:rPr>
            </w:pPr>
            <w:r>
              <w:rPr>
                <w:rFonts w:ascii="Arial" w:cs="Arial" w:eastAsia="Arial" w:hAnsi="Arial"/>
                <w:sz w:val="17"/>
                <w:szCs w:val="17"/>
                <w:color w:val="auto"/>
              </w:rPr>
              <w:t>*</w:t>
            </w:r>
          </w:p>
        </w:tc>
        <w:tc>
          <w:tcPr>
            <w:tcW w:w="1940" w:type="dxa"/>
            <w:vAlign w:val="bottom"/>
            <w:gridSpan w:val="2"/>
            <w:shd w:val="clear" w:color="auto" w:fill="EEEEEE"/>
          </w:tcPr>
          <w:p>
            <w:pPr>
              <w:jc w:val="right"/>
              <w:ind w:right="413"/>
              <w:spacing w:after="0"/>
              <w:rPr>
                <w:sz w:val="20"/>
                <w:szCs w:val="20"/>
                <w:color w:val="auto"/>
              </w:rPr>
            </w:pPr>
            <w:r>
              <w:rPr>
                <w:rFonts w:ascii="Arial" w:cs="Arial" w:eastAsia="Arial" w:hAnsi="Arial"/>
                <w:sz w:val="17"/>
                <w:szCs w:val="17"/>
                <w:color w:val="auto"/>
              </w:rPr>
              <w:t>616,775</w:t>
            </w:r>
          </w:p>
        </w:tc>
        <w:tc>
          <w:tcPr>
            <w:tcW w:w="940" w:type="dxa"/>
            <w:vAlign w:val="bottom"/>
            <w:gridSpan w:val="2"/>
            <w:shd w:val="clear" w:color="auto" w:fill="EEEEEE"/>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rPr>
                <w:sz w:val="20"/>
                <w:szCs w:val="20"/>
                <w:color w:val="auto"/>
              </w:rPr>
            </w:pPr>
            <w:r>
              <w:rPr>
                <w:rFonts w:ascii="Arial" w:cs="Arial" w:eastAsia="Arial" w:hAnsi="Arial"/>
                <w:sz w:val="17"/>
                <w:szCs w:val="17"/>
                <w:color w:val="auto"/>
              </w:rPr>
              <w:t>JMG Triton Offshore Fund, Ltd. (17)</w:t>
            </w:r>
          </w:p>
        </w:tc>
        <w:tc>
          <w:tcPr>
            <w:tcW w:w="2320" w:type="dxa"/>
            <w:vAlign w:val="bottom"/>
            <w:gridSpan w:val="2"/>
          </w:tcPr>
          <w:p>
            <w:pPr>
              <w:jc w:val="right"/>
              <w:ind w:right="733"/>
              <w:spacing w:after="0"/>
              <w:rPr>
                <w:sz w:val="20"/>
                <w:szCs w:val="20"/>
                <w:color w:val="auto"/>
              </w:rPr>
            </w:pPr>
            <w:r>
              <w:rPr>
                <w:rFonts w:ascii="Arial" w:cs="Arial" w:eastAsia="Arial" w:hAnsi="Arial"/>
                <w:sz w:val="17"/>
                <w:szCs w:val="17"/>
                <w:color w:val="auto"/>
              </w:rPr>
              <w:t>616,775</w:t>
            </w:r>
          </w:p>
        </w:tc>
        <w:tc>
          <w:tcPr>
            <w:tcW w:w="38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940" w:type="dxa"/>
            <w:vAlign w:val="bottom"/>
            <w:gridSpan w:val="2"/>
          </w:tcPr>
          <w:p>
            <w:pPr>
              <w:jc w:val="right"/>
              <w:ind w:right="413"/>
              <w:spacing w:after="0"/>
              <w:rPr>
                <w:sz w:val="20"/>
                <w:szCs w:val="20"/>
                <w:color w:val="auto"/>
              </w:rPr>
            </w:pPr>
            <w:r>
              <w:rPr>
                <w:rFonts w:ascii="Arial" w:cs="Arial" w:eastAsia="Arial" w:hAnsi="Arial"/>
                <w:sz w:val="17"/>
                <w:szCs w:val="17"/>
                <w:color w:val="auto"/>
              </w:rPr>
              <w:t>616,775</w:t>
            </w:r>
          </w:p>
        </w:tc>
        <w:tc>
          <w:tcPr>
            <w:tcW w:w="940" w:type="dxa"/>
            <w:vAlign w:val="bottom"/>
            <w:gridSpan w:val="2"/>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shd w:val="clear" w:color="auto" w:fill="EEEEEE"/>
          </w:tcPr>
          <w:p>
            <w:pPr>
              <w:spacing w:after="0"/>
              <w:rPr>
                <w:sz w:val="20"/>
                <w:szCs w:val="20"/>
                <w:color w:val="auto"/>
              </w:rPr>
            </w:pPr>
            <w:r>
              <w:rPr>
                <w:rFonts w:ascii="Arial" w:cs="Arial" w:eastAsia="Arial" w:hAnsi="Arial"/>
                <w:sz w:val="17"/>
                <w:szCs w:val="17"/>
                <w:color w:val="auto"/>
              </w:rPr>
              <w:t>Mainfield Enterprises, Inc. (18)</w:t>
            </w:r>
          </w:p>
        </w:tc>
        <w:tc>
          <w:tcPr>
            <w:tcW w:w="2320" w:type="dxa"/>
            <w:vAlign w:val="bottom"/>
            <w:gridSpan w:val="2"/>
            <w:shd w:val="clear" w:color="auto" w:fill="EEEEEE"/>
          </w:tcPr>
          <w:p>
            <w:pPr>
              <w:jc w:val="right"/>
              <w:ind w:right="733"/>
              <w:spacing w:after="0"/>
              <w:rPr>
                <w:sz w:val="20"/>
                <w:szCs w:val="20"/>
                <w:color w:val="auto"/>
              </w:rPr>
            </w:pPr>
            <w:r>
              <w:rPr>
                <w:rFonts w:ascii="Arial" w:cs="Arial" w:eastAsia="Arial" w:hAnsi="Arial"/>
                <w:sz w:val="17"/>
                <w:szCs w:val="17"/>
                <w:color w:val="auto"/>
              </w:rPr>
              <w:t>411,185</w:t>
            </w:r>
          </w:p>
        </w:tc>
        <w:tc>
          <w:tcPr>
            <w:tcW w:w="380" w:type="dxa"/>
            <w:vAlign w:val="bottom"/>
            <w:shd w:val="clear" w:color="auto" w:fill="EEEEEE"/>
          </w:tcPr>
          <w:p>
            <w:pPr>
              <w:jc w:val="right"/>
              <w:ind w:right="36"/>
              <w:spacing w:after="0"/>
              <w:rPr>
                <w:sz w:val="20"/>
                <w:szCs w:val="20"/>
                <w:color w:val="auto"/>
              </w:rPr>
            </w:pPr>
            <w:r>
              <w:rPr>
                <w:rFonts w:ascii="Arial" w:cs="Arial" w:eastAsia="Arial" w:hAnsi="Arial"/>
                <w:sz w:val="17"/>
                <w:szCs w:val="17"/>
                <w:color w:val="auto"/>
              </w:rPr>
              <w:t>*</w:t>
            </w:r>
          </w:p>
        </w:tc>
        <w:tc>
          <w:tcPr>
            <w:tcW w:w="1940" w:type="dxa"/>
            <w:vAlign w:val="bottom"/>
            <w:gridSpan w:val="2"/>
            <w:shd w:val="clear" w:color="auto" w:fill="EEEEEE"/>
          </w:tcPr>
          <w:p>
            <w:pPr>
              <w:jc w:val="right"/>
              <w:ind w:right="413"/>
              <w:spacing w:after="0"/>
              <w:rPr>
                <w:sz w:val="20"/>
                <w:szCs w:val="20"/>
                <w:color w:val="auto"/>
              </w:rPr>
            </w:pPr>
            <w:r>
              <w:rPr>
                <w:rFonts w:ascii="Arial" w:cs="Arial" w:eastAsia="Arial" w:hAnsi="Arial"/>
                <w:sz w:val="17"/>
                <w:szCs w:val="17"/>
                <w:color w:val="auto"/>
              </w:rPr>
              <w:t>411,185</w:t>
            </w:r>
          </w:p>
        </w:tc>
        <w:tc>
          <w:tcPr>
            <w:tcW w:w="940" w:type="dxa"/>
            <w:vAlign w:val="bottom"/>
            <w:gridSpan w:val="2"/>
            <w:shd w:val="clear" w:color="auto" w:fill="EEEEEE"/>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5240" w:type="dxa"/>
            <w:vAlign w:val="bottom"/>
          </w:tcPr>
          <w:p>
            <w:pPr>
              <w:spacing w:after="0"/>
              <w:rPr>
                <w:sz w:val="24"/>
                <w:szCs w:val="24"/>
                <w:color w:val="auto"/>
              </w:rPr>
            </w:pPr>
          </w:p>
        </w:tc>
        <w:tc>
          <w:tcPr>
            <w:tcW w:w="2320" w:type="dxa"/>
            <w:vAlign w:val="bottom"/>
            <w:gridSpan w:val="2"/>
          </w:tcPr>
          <w:p>
            <w:pPr>
              <w:jc w:val="right"/>
              <w:ind w:right="1733"/>
              <w:spacing w:after="0"/>
              <w:rPr>
                <w:sz w:val="20"/>
                <w:szCs w:val="20"/>
                <w:color w:val="auto"/>
              </w:rPr>
            </w:pPr>
            <w:r>
              <w:rPr>
                <w:rFonts w:ascii="Arial" w:cs="Arial" w:eastAsia="Arial" w:hAnsi="Arial"/>
                <w:sz w:val="17"/>
                <w:szCs w:val="17"/>
                <w:color w:val="auto"/>
              </w:rPr>
              <w:t>9</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2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0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6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402" w:right="19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60" w:type="dxa"/>
            <w:vAlign w:val="bottom"/>
          </w:tcPr>
          <w:p>
            <w:pPr>
              <w:jc w:val="center"/>
              <w:ind w:left="293"/>
              <w:spacing w:after="0"/>
              <w:rPr>
                <w:sz w:val="20"/>
                <w:szCs w:val="20"/>
                <w:color w:val="auto"/>
              </w:rPr>
            </w:pPr>
            <w:r>
              <w:rPr>
                <w:rFonts w:ascii="Arial" w:cs="Arial" w:eastAsia="Arial" w:hAnsi="Arial"/>
                <w:sz w:val="13"/>
                <w:szCs w:val="13"/>
                <w:b w:val="1"/>
                <w:bCs w:val="1"/>
                <w:color w:val="auto"/>
                <w:w w:val="92"/>
              </w:rPr>
              <w:t>Shares Owned and</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300" w:type="dxa"/>
            <w:vAlign w:val="bottom"/>
          </w:tcPr>
          <w:p>
            <w:pPr>
              <w:spacing w:after="0"/>
              <w:rPr>
                <w:sz w:val="13"/>
                <w:szCs w:val="13"/>
                <w:color w:val="auto"/>
              </w:rPr>
            </w:pPr>
          </w:p>
        </w:tc>
        <w:tc>
          <w:tcPr>
            <w:tcW w:w="13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3"/>
              </w:rPr>
              <w:t>Shares Owned And</w:t>
            </w:r>
          </w:p>
        </w:tc>
        <w:tc>
          <w:tcPr>
            <w:tcW w:w="0" w:type="dxa"/>
            <w:vAlign w:val="bottom"/>
          </w:tcPr>
          <w:p>
            <w:pPr>
              <w:spacing w:after="0"/>
              <w:rPr>
                <w:sz w:val="1"/>
                <w:szCs w:val="1"/>
                <w:color w:val="auto"/>
              </w:rPr>
            </w:pPr>
          </w:p>
        </w:tc>
      </w:tr>
      <w:tr>
        <w:trPr>
          <w:trHeight w:val="139"/>
        </w:trPr>
        <w:tc>
          <w:tcPr>
            <w:tcW w:w="5380" w:type="dxa"/>
            <w:vAlign w:val="bottom"/>
            <w:vMerge w:val="restart"/>
          </w:tcPr>
          <w:p>
            <w:pPr>
              <w:spacing w:after="0"/>
              <w:rPr>
                <w:sz w:val="20"/>
                <w:szCs w:val="20"/>
                <w:color w:val="auto"/>
              </w:rPr>
            </w:pPr>
            <w:r>
              <w:rPr>
                <w:rFonts w:ascii="Arial" w:cs="Arial" w:eastAsia="Arial" w:hAnsi="Arial"/>
                <w:sz w:val="13"/>
                <w:szCs w:val="13"/>
                <w:b w:val="1"/>
                <w:bCs w:val="1"/>
                <w:color w:val="auto"/>
              </w:rPr>
              <w:t>Selling Stockholder</w:t>
            </w:r>
          </w:p>
        </w:tc>
        <w:tc>
          <w:tcPr>
            <w:tcW w:w="300" w:type="dxa"/>
            <w:vAlign w:val="bottom"/>
          </w:tcPr>
          <w:p>
            <w:pPr>
              <w:spacing w:after="0"/>
              <w:rPr>
                <w:sz w:val="12"/>
                <w:szCs w:val="12"/>
                <w:color w:val="auto"/>
              </w:rPr>
            </w:pPr>
          </w:p>
        </w:tc>
        <w:tc>
          <w:tcPr>
            <w:tcW w:w="1960" w:type="dxa"/>
            <w:vAlign w:val="bottom"/>
          </w:tcPr>
          <w:p>
            <w:pPr>
              <w:jc w:val="center"/>
              <w:ind w:left="273"/>
              <w:spacing w:after="0" w:line="139" w:lineRule="exact"/>
              <w:rPr>
                <w:sz w:val="20"/>
                <w:szCs w:val="20"/>
                <w:color w:val="auto"/>
              </w:rPr>
            </w:pPr>
            <w:r>
              <w:rPr>
                <w:rFonts w:ascii="Arial" w:cs="Arial" w:eastAsia="Arial" w:hAnsi="Arial"/>
                <w:sz w:val="13"/>
                <w:szCs w:val="13"/>
                <w:b w:val="1"/>
                <w:bCs w:val="1"/>
                <w:color w:val="auto"/>
                <w:w w:val="92"/>
              </w:rPr>
              <w:t>Ownership Percentage</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8"/>
              </w:rPr>
              <w:t>Being</w:t>
            </w:r>
          </w:p>
        </w:tc>
        <w:tc>
          <w:tcPr>
            <w:tcW w:w="300" w:type="dxa"/>
            <w:vAlign w:val="bottom"/>
          </w:tcPr>
          <w:p>
            <w:pPr>
              <w:spacing w:after="0"/>
              <w:rPr>
                <w:sz w:val="12"/>
                <w:szCs w:val="12"/>
                <w:color w:val="auto"/>
              </w:rPr>
            </w:pPr>
          </w:p>
        </w:tc>
        <w:tc>
          <w:tcPr>
            <w:tcW w:w="1300" w:type="dxa"/>
            <w:vAlign w:val="bottom"/>
            <w:gridSpan w:val="3"/>
          </w:tcPr>
          <w:p>
            <w:pPr>
              <w:jc w:val="center"/>
              <w:spacing w:after="0" w:line="139" w:lineRule="exact"/>
              <w:rPr>
                <w:sz w:val="20"/>
                <w:szCs w:val="20"/>
                <w:color w:val="auto"/>
              </w:rPr>
            </w:pPr>
            <w:r>
              <w:rPr>
                <w:rFonts w:ascii="Arial" w:cs="Arial" w:eastAsia="Arial" w:hAnsi="Arial"/>
                <w:sz w:val="13"/>
                <w:szCs w:val="13"/>
                <w:b w:val="1"/>
                <w:bCs w:val="1"/>
                <w:color w:val="auto"/>
                <w:w w:val="92"/>
              </w:rPr>
              <w:t>Ownership Percentage</w:t>
            </w:r>
          </w:p>
        </w:tc>
        <w:tc>
          <w:tcPr>
            <w:tcW w:w="0" w:type="dxa"/>
            <w:vAlign w:val="bottom"/>
          </w:tcPr>
          <w:p>
            <w:pPr>
              <w:spacing w:after="0"/>
              <w:rPr>
                <w:sz w:val="1"/>
                <w:szCs w:val="1"/>
                <w:color w:val="auto"/>
              </w:rPr>
            </w:pPr>
          </w:p>
        </w:tc>
      </w:tr>
      <w:tr>
        <w:trPr>
          <w:trHeight w:val="174"/>
        </w:trPr>
        <w:tc>
          <w:tcPr>
            <w:tcW w:w="53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tcPr>
          <w:p>
            <w:pPr>
              <w:jc w:val="center"/>
              <w:ind w:left="273"/>
              <w:spacing w:after="0"/>
              <w:rPr>
                <w:sz w:val="20"/>
                <w:szCs w:val="20"/>
                <w:color w:val="auto"/>
              </w:rPr>
            </w:pPr>
            <w:r>
              <w:rPr>
                <w:rFonts w:ascii="Arial" w:cs="Arial" w:eastAsia="Arial" w:hAnsi="Arial"/>
                <w:sz w:val="13"/>
                <w:szCs w:val="13"/>
                <w:b w:val="1"/>
                <w:bCs w:val="1"/>
                <w:color w:val="auto"/>
                <w:w w:val="98"/>
              </w:rPr>
              <w:t>Prior to Offering (1)</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Offered</w:t>
            </w:r>
          </w:p>
        </w:tc>
        <w:tc>
          <w:tcPr>
            <w:tcW w:w="300" w:type="dxa"/>
            <w:vAlign w:val="bottom"/>
          </w:tcPr>
          <w:p>
            <w:pPr>
              <w:spacing w:after="0"/>
              <w:rPr>
                <w:sz w:val="15"/>
                <w:szCs w:val="15"/>
                <w:color w:val="auto"/>
              </w:rPr>
            </w:pPr>
          </w:p>
        </w:tc>
        <w:tc>
          <w:tcPr>
            <w:tcW w:w="13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8"/>
              </w:rPr>
              <w:t>After Offering (1)</w:t>
            </w:r>
          </w:p>
        </w:tc>
        <w:tc>
          <w:tcPr>
            <w:tcW w:w="0" w:type="dxa"/>
            <w:vAlign w:val="bottom"/>
          </w:tcPr>
          <w:p>
            <w:pPr>
              <w:spacing w:after="0"/>
              <w:rPr>
                <w:sz w:val="1"/>
                <w:szCs w:val="1"/>
                <w:color w:val="auto"/>
              </w:rPr>
            </w:pPr>
          </w:p>
        </w:tc>
      </w:tr>
      <w:tr>
        <w:trPr>
          <w:trHeight w:val="61"/>
        </w:trPr>
        <w:tc>
          <w:tcPr>
            <w:tcW w:w="538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96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156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5380" w:type="dxa"/>
            <w:vAlign w:val="bottom"/>
          </w:tcPr>
          <w:p>
            <w:pPr>
              <w:spacing w:after="0"/>
              <w:rPr>
                <w:sz w:val="20"/>
                <w:szCs w:val="20"/>
                <w:color w:val="auto"/>
              </w:rPr>
            </w:pPr>
            <w:r>
              <w:rPr>
                <w:rFonts w:ascii="Arial" w:cs="Arial" w:eastAsia="Arial" w:hAnsi="Arial"/>
                <w:sz w:val="17"/>
                <w:szCs w:val="17"/>
                <w:color w:val="auto"/>
              </w:rPr>
              <w:t>Omicron Master Trust (19)</w:t>
            </w:r>
          </w:p>
        </w:tc>
        <w:tc>
          <w:tcPr>
            <w:tcW w:w="2260" w:type="dxa"/>
            <w:vAlign w:val="bottom"/>
            <w:gridSpan w:val="2"/>
          </w:tcPr>
          <w:p>
            <w:pPr>
              <w:jc w:val="right"/>
              <w:ind w:right="793"/>
              <w:spacing w:after="0"/>
              <w:rPr>
                <w:sz w:val="20"/>
                <w:szCs w:val="20"/>
                <w:color w:val="auto"/>
              </w:rPr>
            </w:pPr>
            <w:r>
              <w:rPr>
                <w:rFonts w:ascii="Arial" w:cs="Arial" w:eastAsia="Arial" w:hAnsi="Arial"/>
                <w:sz w:val="17"/>
                <w:szCs w:val="17"/>
                <w:color w:val="auto"/>
              </w:rPr>
              <w:t>246,710</w:t>
            </w:r>
          </w:p>
        </w:tc>
        <w:tc>
          <w:tcPr>
            <w:tcW w:w="3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gridSpan w:val="2"/>
          </w:tcPr>
          <w:p>
            <w:pPr>
              <w:jc w:val="right"/>
              <w:ind w:right="433"/>
              <w:spacing w:after="0"/>
              <w:rPr>
                <w:sz w:val="20"/>
                <w:szCs w:val="20"/>
                <w:color w:val="auto"/>
              </w:rPr>
            </w:pPr>
            <w:r>
              <w:rPr>
                <w:rFonts w:ascii="Arial" w:cs="Arial" w:eastAsia="Arial" w:hAnsi="Arial"/>
                <w:sz w:val="17"/>
                <w:szCs w:val="17"/>
                <w:color w:val="auto"/>
              </w:rPr>
              <w:t>246,710</w:t>
            </w:r>
          </w:p>
        </w:tc>
        <w:tc>
          <w:tcPr>
            <w:tcW w:w="960" w:type="dxa"/>
            <w:vAlign w:val="bottom"/>
            <w:gridSpan w:val="2"/>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EEEEEE"/>
          </w:tcPr>
          <w:p>
            <w:pPr>
              <w:spacing w:after="0"/>
              <w:rPr>
                <w:sz w:val="20"/>
                <w:szCs w:val="20"/>
                <w:color w:val="auto"/>
              </w:rPr>
            </w:pPr>
            <w:r>
              <w:rPr>
                <w:rFonts w:ascii="Arial" w:cs="Arial" w:eastAsia="Arial" w:hAnsi="Arial"/>
                <w:sz w:val="17"/>
                <w:szCs w:val="17"/>
                <w:color w:val="auto"/>
              </w:rPr>
              <w:t>Portside Growth and Opportunity Fund (20)</w:t>
            </w:r>
          </w:p>
        </w:tc>
        <w:tc>
          <w:tcPr>
            <w:tcW w:w="2260" w:type="dxa"/>
            <w:vAlign w:val="bottom"/>
            <w:gridSpan w:val="2"/>
            <w:shd w:val="clear" w:color="auto" w:fill="EEEEEE"/>
          </w:tcPr>
          <w:p>
            <w:pPr>
              <w:jc w:val="right"/>
              <w:ind w:right="793"/>
              <w:spacing w:after="0"/>
              <w:rPr>
                <w:sz w:val="20"/>
                <w:szCs w:val="20"/>
                <w:color w:val="auto"/>
              </w:rPr>
            </w:pPr>
            <w:r>
              <w:rPr>
                <w:rFonts w:ascii="Arial" w:cs="Arial" w:eastAsia="Arial" w:hAnsi="Arial"/>
                <w:sz w:val="17"/>
                <w:szCs w:val="17"/>
                <w:color w:val="auto"/>
              </w:rPr>
              <w:t>205,590</w:t>
            </w:r>
          </w:p>
        </w:tc>
        <w:tc>
          <w:tcPr>
            <w:tcW w:w="340" w:type="dxa"/>
            <w:vAlign w:val="bottom"/>
            <w:shd w:val="clear" w:color="auto" w:fill="EEEEEE"/>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EEEEEE"/>
          </w:tcPr>
          <w:p>
            <w:pPr>
              <w:jc w:val="right"/>
              <w:ind w:right="433"/>
              <w:spacing w:after="0"/>
              <w:rPr>
                <w:sz w:val="20"/>
                <w:szCs w:val="20"/>
                <w:color w:val="auto"/>
              </w:rPr>
            </w:pPr>
            <w:r>
              <w:rPr>
                <w:rFonts w:ascii="Arial" w:cs="Arial" w:eastAsia="Arial" w:hAnsi="Arial"/>
                <w:sz w:val="17"/>
                <w:szCs w:val="17"/>
                <w:color w:val="auto"/>
              </w:rPr>
              <w:t>205,590</w:t>
            </w:r>
          </w:p>
        </w:tc>
        <w:tc>
          <w:tcPr>
            <w:tcW w:w="960" w:type="dxa"/>
            <w:vAlign w:val="bottom"/>
            <w:gridSpan w:val="2"/>
            <w:shd w:val="clear" w:color="auto" w:fill="EEEEEE"/>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tcPr>
          <w:p>
            <w:pPr>
              <w:spacing w:after="0"/>
              <w:rPr>
                <w:sz w:val="20"/>
                <w:szCs w:val="20"/>
                <w:color w:val="auto"/>
              </w:rPr>
            </w:pPr>
            <w:r>
              <w:rPr>
                <w:rFonts w:ascii="Arial" w:cs="Arial" w:eastAsia="Arial" w:hAnsi="Arial"/>
                <w:sz w:val="17"/>
                <w:szCs w:val="17"/>
                <w:color w:val="auto"/>
              </w:rPr>
              <w:t>RHP Master Fund, Ltd. (21)</w:t>
            </w:r>
          </w:p>
        </w:tc>
        <w:tc>
          <w:tcPr>
            <w:tcW w:w="2260" w:type="dxa"/>
            <w:vAlign w:val="bottom"/>
            <w:gridSpan w:val="2"/>
          </w:tcPr>
          <w:p>
            <w:pPr>
              <w:jc w:val="right"/>
              <w:ind w:right="793"/>
              <w:spacing w:after="0"/>
              <w:rPr>
                <w:sz w:val="20"/>
                <w:szCs w:val="20"/>
                <w:color w:val="auto"/>
              </w:rPr>
            </w:pPr>
            <w:r>
              <w:rPr>
                <w:rFonts w:ascii="Arial" w:cs="Arial" w:eastAsia="Arial" w:hAnsi="Arial"/>
                <w:sz w:val="17"/>
                <w:szCs w:val="17"/>
                <w:color w:val="auto"/>
              </w:rPr>
              <w:t>411,185</w:t>
            </w:r>
          </w:p>
        </w:tc>
        <w:tc>
          <w:tcPr>
            <w:tcW w:w="3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gridSpan w:val="2"/>
          </w:tcPr>
          <w:p>
            <w:pPr>
              <w:jc w:val="right"/>
              <w:ind w:right="433"/>
              <w:spacing w:after="0"/>
              <w:rPr>
                <w:sz w:val="20"/>
                <w:szCs w:val="20"/>
                <w:color w:val="auto"/>
              </w:rPr>
            </w:pPr>
            <w:r>
              <w:rPr>
                <w:rFonts w:ascii="Arial" w:cs="Arial" w:eastAsia="Arial" w:hAnsi="Arial"/>
                <w:sz w:val="17"/>
                <w:szCs w:val="17"/>
                <w:color w:val="auto"/>
              </w:rPr>
              <w:t>411,185</w:t>
            </w:r>
          </w:p>
        </w:tc>
        <w:tc>
          <w:tcPr>
            <w:tcW w:w="960" w:type="dxa"/>
            <w:vAlign w:val="bottom"/>
            <w:gridSpan w:val="2"/>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EEEEEE"/>
          </w:tcPr>
          <w:p>
            <w:pPr>
              <w:spacing w:after="0"/>
              <w:rPr>
                <w:sz w:val="20"/>
                <w:szCs w:val="20"/>
                <w:color w:val="auto"/>
              </w:rPr>
            </w:pPr>
            <w:r>
              <w:rPr>
                <w:rFonts w:ascii="Arial" w:cs="Arial" w:eastAsia="Arial" w:hAnsi="Arial"/>
                <w:sz w:val="17"/>
                <w:szCs w:val="17"/>
                <w:color w:val="auto"/>
              </w:rPr>
              <w:t>Richard Friedman (22)</w:t>
            </w:r>
          </w:p>
        </w:tc>
        <w:tc>
          <w:tcPr>
            <w:tcW w:w="2260" w:type="dxa"/>
            <w:vAlign w:val="bottom"/>
            <w:gridSpan w:val="2"/>
            <w:shd w:val="clear" w:color="auto" w:fill="EEEEEE"/>
          </w:tcPr>
          <w:p>
            <w:pPr>
              <w:jc w:val="right"/>
              <w:ind w:right="793"/>
              <w:spacing w:after="0"/>
              <w:rPr>
                <w:sz w:val="20"/>
                <w:szCs w:val="20"/>
                <w:color w:val="auto"/>
              </w:rPr>
            </w:pPr>
            <w:r>
              <w:rPr>
                <w:rFonts w:ascii="Arial" w:cs="Arial" w:eastAsia="Arial" w:hAnsi="Arial"/>
                <w:sz w:val="17"/>
                <w:szCs w:val="17"/>
                <w:color w:val="auto"/>
              </w:rPr>
              <w:t>82,235</w:t>
            </w:r>
          </w:p>
        </w:tc>
        <w:tc>
          <w:tcPr>
            <w:tcW w:w="340" w:type="dxa"/>
            <w:vAlign w:val="bottom"/>
            <w:shd w:val="clear" w:color="auto" w:fill="EEEEEE"/>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EEEEEE"/>
          </w:tcPr>
          <w:p>
            <w:pPr>
              <w:jc w:val="right"/>
              <w:ind w:right="433"/>
              <w:spacing w:after="0"/>
              <w:rPr>
                <w:sz w:val="20"/>
                <w:szCs w:val="20"/>
                <w:color w:val="auto"/>
              </w:rPr>
            </w:pPr>
            <w:r>
              <w:rPr>
                <w:rFonts w:ascii="Arial" w:cs="Arial" w:eastAsia="Arial" w:hAnsi="Arial"/>
                <w:sz w:val="17"/>
                <w:szCs w:val="17"/>
                <w:color w:val="auto"/>
              </w:rPr>
              <w:t>82,235</w:t>
            </w:r>
          </w:p>
        </w:tc>
        <w:tc>
          <w:tcPr>
            <w:tcW w:w="960" w:type="dxa"/>
            <w:vAlign w:val="bottom"/>
            <w:gridSpan w:val="2"/>
            <w:shd w:val="clear" w:color="auto" w:fill="EEEEEE"/>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tcPr>
          <w:p>
            <w:pPr>
              <w:spacing w:after="0"/>
              <w:rPr>
                <w:sz w:val="20"/>
                <w:szCs w:val="20"/>
                <w:color w:val="auto"/>
              </w:rPr>
            </w:pPr>
            <w:r>
              <w:rPr>
                <w:rFonts w:ascii="Arial" w:cs="Arial" w:eastAsia="Arial" w:hAnsi="Arial"/>
                <w:sz w:val="17"/>
                <w:szCs w:val="17"/>
                <w:color w:val="auto"/>
              </w:rPr>
              <w:t>SF Capital Partners Ltd (23)</w:t>
            </w:r>
          </w:p>
        </w:tc>
        <w:tc>
          <w:tcPr>
            <w:tcW w:w="2260" w:type="dxa"/>
            <w:vAlign w:val="bottom"/>
            <w:gridSpan w:val="2"/>
          </w:tcPr>
          <w:p>
            <w:pPr>
              <w:jc w:val="right"/>
              <w:ind w:right="793"/>
              <w:spacing w:after="0"/>
              <w:rPr>
                <w:sz w:val="20"/>
                <w:szCs w:val="20"/>
                <w:color w:val="auto"/>
              </w:rPr>
            </w:pPr>
            <w:r>
              <w:rPr>
                <w:rFonts w:ascii="Arial" w:cs="Arial" w:eastAsia="Arial" w:hAnsi="Arial"/>
                <w:sz w:val="17"/>
                <w:szCs w:val="17"/>
                <w:color w:val="auto"/>
              </w:rPr>
              <w:t>986,840</w:t>
            </w:r>
          </w:p>
        </w:tc>
        <w:tc>
          <w:tcPr>
            <w:tcW w:w="3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gridSpan w:val="2"/>
          </w:tcPr>
          <w:p>
            <w:pPr>
              <w:jc w:val="right"/>
              <w:ind w:right="433"/>
              <w:spacing w:after="0"/>
              <w:rPr>
                <w:sz w:val="20"/>
                <w:szCs w:val="20"/>
                <w:color w:val="auto"/>
              </w:rPr>
            </w:pPr>
            <w:r>
              <w:rPr>
                <w:rFonts w:ascii="Arial" w:cs="Arial" w:eastAsia="Arial" w:hAnsi="Arial"/>
                <w:sz w:val="17"/>
                <w:szCs w:val="17"/>
                <w:color w:val="auto"/>
              </w:rPr>
              <w:t>986,840</w:t>
            </w:r>
          </w:p>
        </w:tc>
        <w:tc>
          <w:tcPr>
            <w:tcW w:w="960" w:type="dxa"/>
            <w:vAlign w:val="bottom"/>
            <w:gridSpan w:val="2"/>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EEEEEE"/>
          </w:tcPr>
          <w:p>
            <w:pPr>
              <w:spacing w:after="0"/>
              <w:rPr>
                <w:sz w:val="20"/>
                <w:szCs w:val="20"/>
                <w:color w:val="auto"/>
              </w:rPr>
            </w:pPr>
            <w:r>
              <w:rPr>
                <w:rFonts w:ascii="Arial" w:cs="Arial" w:eastAsia="Arial" w:hAnsi="Arial"/>
                <w:sz w:val="17"/>
                <w:szCs w:val="17"/>
                <w:color w:val="auto"/>
              </w:rPr>
              <w:t>Smithfield Fiduciary LLC (24)</w:t>
            </w:r>
          </w:p>
        </w:tc>
        <w:tc>
          <w:tcPr>
            <w:tcW w:w="2260" w:type="dxa"/>
            <w:vAlign w:val="bottom"/>
            <w:gridSpan w:val="2"/>
            <w:shd w:val="clear" w:color="auto" w:fill="EEEEEE"/>
          </w:tcPr>
          <w:p>
            <w:pPr>
              <w:jc w:val="right"/>
              <w:ind w:right="793"/>
              <w:spacing w:after="0"/>
              <w:rPr>
                <w:sz w:val="20"/>
                <w:szCs w:val="20"/>
                <w:color w:val="auto"/>
              </w:rPr>
            </w:pPr>
            <w:r>
              <w:rPr>
                <w:rFonts w:ascii="Arial" w:cs="Arial" w:eastAsia="Arial" w:hAnsi="Arial"/>
                <w:sz w:val="17"/>
                <w:szCs w:val="17"/>
                <w:color w:val="auto"/>
              </w:rPr>
              <w:t>616,780</w:t>
            </w:r>
          </w:p>
        </w:tc>
        <w:tc>
          <w:tcPr>
            <w:tcW w:w="340" w:type="dxa"/>
            <w:vAlign w:val="bottom"/>
            <w:shd w:val="clear" w:color="auto" w:fill="EEEEEE"/>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EEEEEE"/>
          </w:tcPr>
          <w:p>
            <w:pPr>
              <w:jc w:val="right"/>
              <w:ind w:right="433"/>
              <w:spacing w:after="0"/>
              <w:rPr>
                <w:sz w:val="20"/>
                <w:szCs w:val="20"/>
                <w:color w:val="auto"/>
              </w:rPr>
            </w:pPr>
            <w:r>
              <w:rPr>
                <w:rFonts w:ascii="Arial" w:cs="Arial" w:eastAsia="Arial" w:hAnsi="Arial"/>
                <w:sz w:val="17"/>
                <w:szCs w:val="17"/>
                <w:color w:val="auto"/>
              </w:rPr>
              <w:t>616,780</w:t>
            </w:r>
          </w:p>
        </w:tc>
        <w:tc>
          <w:tcPr>
            <w:tcW w:w="960" w:type="dxa"/>
            <w:vAlign w:val="bottom"/>
            <w:gridSpan w:val="2"/>
            <w:shd w:val="clear" w:color="auto" w:fill="EEEEEE"/>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tcPr>
          <w:p>
            <w:pPr>
              <w:spacing w:after="0"/>
              <w:rPr>
                <w:sz w:val="20"/>
                <w:szCs w:val="20"/>
                <w:color w:val="auto"/>
              </w:rPr>
            </w:pPr>
            <w:r>
              <w:rPr>
                <w:rFonts w:ascii="Arial" w:cs="Arial" w:eastAsia="Arial" w:hAnsi="Arial"/>
                <w:sz w:val="17"/>
                <w:szCs w:val="17"/>
                <w:color w:val="auto"/>
              </w:rPr>
              <w:t>Solar Group S.A. (25)</w:t>
            </w:r>
          </w:p>
        </w:tc>
        <w:tc>
          <w:tcPr>
            <w:tcW w:w="2260" w:type="dxa"/>
            <w:vAlign w:val="bottom"/>
            <w:gridSpan w:val="2"/>
          </w:tcPr>
          <w:p>
            <w:pPr>
              <w:jc w:val="right"/>
              <w:ind w:right="793"/>
              <w:spacing w:after="0"/>
              <w:rPr>
                <w:sz w:val="20"/>
                <w:szCs w:val="20"/>
                <w:color w:val="auto"/>
              </w:rPr>
            </w:pPr>
            <w:r>
              <w:rPr>
                <w:rFonts w:ascii="Arial" w:cs="Arial" w:eastAsia="Arial" w:hAnsi="Arial"/>
                <w:sz w:val="17"/>
                <w:szCs w:val="17"/>
                <w:color w:val="auto"/>
              </w:rPr>
              <w:t>25,000</w:t>
            </w:r>
          </w:p>
        </w:tc>
        <w:tc>
          <w:tcPr>
            <w:tcW w:w="3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gridSpan w:val="2"/>
          </w:tcPr>
          <w:p>
            <w:pPr>
              <w:jc w:val="right"/>
              <w:ind w:right="433"/>
              <w:spacing w:after="0"/>
              <w:rPr>
                <w:sz w:val="20"/>
                <w:szCs w:val="20"/>
                <w:color w:val="auto"/>
              </w:rPr>
            </w:pPr>
            <w:r>
              <w:rPr>
                <w:rFonts w:ascii="Arial" w:cs="Arial" w:eastAsia="Arial" w:hAnsi="Arial"/>
                <w:sz w:val="17"/>
                <w:szCs w:val="17"/>
                <w:color w:val="auto"/>
              </w:rPr>
              <w:t>25,000</w:t>
            </w:r>
          </w:p>
        </w:tc>
        <w:tc>
          <w:tcPr>
            <w:tcW w:w="960" w:type="dxa"/>
            <w:vAlign w:val="bottom"/>
            <w:gridSpan w:val="2"/>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EEEEEE"/>
          </w:tcPr>
          <w:p>
            <w:pPr>
              <w:spacing w:after="0"/>
              <w:rPr>
                <w:sz w:val="20"/>
                <w:szCs w:val="20"/>
                <w:color w:val="auto"/>
              </w:rPr>
            </w:pPr>
            <w:r>
              <w:rPr>
                <w:rFonts w:ascii="Arial" w:cs="Arial" w:eastAsia="Arial" w:hAnsi="Arial"/>
                <w:sz w:val="17"/>
                <w:szCs w:val="17"/>
                <w:color w:val="auto"/>
              </w:rPr>
              <w:t>SRG Capital, LLC (26)</w:t>
            </w:r>
          </w:p>
        </w:tc>
        <w:tc>
          <w:tcPr>
            <w:tcW w:w="2260" w:type="dxa"/>
            <w:vAlign w:val="bottom"/>
            <w:gridSpan w:val="2"/>
            <w:shd w:val="clear" w:color="auto" w:fill="EEEEEE"/>
          </w:tcPr>
          <w:p>
            <w:pPr>
              <w:jc w:val="right"/>
              <w:ind w:right="793"/>
              <w:spacing w:after="0"/>
              <w:rPr>
                <w:sz w:val="20"/>
                <w:szCs w:val="20"/>
                <w:color w:val="auto"/>
              </w:rPr>
            </w:pPr>
            <w:r>
              <w:rPr>
                <w:rFonts w:ascii="Arial" w:cs="Arial" w:eastAsia="Arial" w:hAnsi="Arial"/>
                <w:sz w:val="17"/>
                <w:szCs w:val="17"/>
                <w:color w:val="auto"/>
              </w:rPr>
              <w:t>412,500</w:t>
            </w:r>
          </w:p>
        </w:tc>
        <w:tc>
          <w:tcPr>
            <w:tcW w:w="340" w:type="dxa"/>
            <w:vAlign w:val="bottom"/>
            <w:shd w:val="clear" w:color="auto" w:fill="EEEEEE"/>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EEEEEE"/>
          </w:tcPr>
          <w:p>
            <w:pPr>
              <w:jc w:val="right"/>
              <w:ind w:right="433"/>
              <w:spacing w:after="0"/>
              <w:rPr>
                <w:sz w:val="20"/>
                <w:szCs w:val="20"/>
                <w:color w:val="auto"/>
              </w:rPr>
            </w:pPr>
            <w:r>
              <w:rPr>
                <w:rFonts w:ascii="Arial" w:cs="Arial" w:eastAsia="Arial" w:hAnsi="Arial"/>
                <w:sz w:val="17"/>
                <w:szCs w:val="17"/>
                <w:color w:val="auto"/>
              </w:rPr>
              <w:t>412,500</w:t>
            </w:r>
          </w:p>
        </w:tc>
        <w:tc>
          <w:tcPr>
            <w:tcW w:w="960" w:type="dxa"/>
            <w:vAlign w:val="bottom"/>
            <w:gridSpan w:val="2"/>
            <w:shd w:val="clear" w:color="auto" w:fill="EEEEEE"/>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tcPr>
          <w:p>
            <w:pPr>
              <w:spacing w:after="0"/>
              <w:rPr>
                <w:sz w:val="20"/>
                <w:szCs w:val="20"/>
                <w:color w:val="auto"/>
              </w:rPr>
            </w:pPr>
            <w:r>
              <w:rPr>
                <w:rFonts w:ascii="Arial" w:cs="Arial" w:eastAsia="Arial" w:hAnsi="Arial"/>
                <w:sz w:val="17"/>
                <w:szCs w:val="17"/>
                <w:color w:val="auto"/>
              </w:rPr>
              <w:t>Stephen Rizzone (27)</w:t>
            </w:r>
          </w:p>
        </w:tc>
        <w:tc>
          <w:tcPr>
            <w:tcW w:w="2260" w:type="dxa"/>
            <w:vAlign w:val="bottom"/>
            <w:gridSpan w:val="2"/>
          </w:tcPr>
          <w:p>
            <w:pPr>
              <w:jc w:val="right"/>
              <w:ind w:right="793"/>
              <w:spacing w:after="0"/>
              <w:rPr>
                <w:sz w:val="20"/>
                <w:szCs w:val="20"/>
                <w:color w:val="auto"/>
              </w:rPr>
            </w:pPr>
            <w:r>
              <w:rPr>
                <w:rFonts w:ascii="Arial" w:cs="Arial" w:eastAsia="Arial" w:hAnsi="Arial"/>
                <w:sz w:val="17"/>
                <w:szCs w:val="17"/>
                <w:color w:val="auto"/>
              </w:rPr>
              <w:t>82,235</w:t>
            </w:r>
          </w:p>
        </w:tc>
        <w:tc>
          <w:tcPr>
            <w:tcW w:w="3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gridSpan w:val="2"/>
          </w:tcPr>
          <w:p>
            <w:pPr>
              <w:jc w:val="right"/>
              <w:ind w:right="433"/>
              <w:spacing w:after="0"/>
              <w:rPr>
                <w:sz w:val="20"/>
                <w:szCs w:val="20"/>
                <w:color w:val="auto"/>
              </w:rPr>
            </w:pPr>
            <w:r>
              <w:rPr>
                <w:rFonts w:ascii="Arial" w:cs="Arial" w:eastAsia="Arial" w:hAnsi="Arial"/>
                <w:sz w:val="17"/>
                <w:szCs w:val="17"/>
                <w:color w:val="auto"/>
              </w:rPr>
              <w:t>82,235</w:t>
            </w:r>
          </w:p>
        </w:tc>
        <w:tc>
          <w:tcPr>
            <w:tcW w:w="960" w:type="dxa"/>
            <w:vAlign w:val="bottom"/>
            <w:gridSpan w:val="2"/>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EEEEEE"/>
          </w:tcPr>
          <w:p>
            <w:pPr>
              <w:spacing w:after="0"/>
              <w:rPr>
                <w:sz w:val="20"/>
                <w:szCs w:val="20"/>
                <w:color w:val="auto"/>
              </w:rPr>
            </w:pPr>
            <w:r>
              <w:rPr>
                <w:rFonts w:ascii="Arial" w:cs="Arial" w:eastAsia="Arial" w:hAnsi="Arial"/>
                <w:sz w:val="17"/>
                <w:szCs w:val="17"/>
                <w:color w:val="auto"/>
              </w:rPr>
              <w:t>Stonestreet Limited Partnership (28)</w:t>
            </w:r>
          </w:p>
        </w:tc>
        <w:tc>
          <w:tcPr>
            <w:tcW w:w="2260" w:type="dxa"/>
            <w:vAlign w:val="bottom"/>
            <w:gridSpan w:val="2"/>
            <w:shd w:val="clear" w:color="auto" w:fill="EEEEEE"/>
          </w:tcPr>
          <w:p>
            <w:pPr>
              <w:jc w:val="right"/>
              <w:ind w:right="793"/>
              <w:spacing w:after="0"/>
              <w:rPr>
                <w:sz w:val="20"/>
                <w:szCs w:val="20"/>
                <w:color w:val="auto"/>
              </w:rPr>
            </w:pPr>
            <w:r>
              <w:rPr>
                <w:rFonts w:ascii="Arial" w:cs="Arial" w:eastAsia="Arial" w:hAnsi="Arial"/>
                <w:sz w:val="17"/>
                <w:szCs w:val="17"/>
                <w:color w:val="auto"/>
              </w:rPr>
              <w:t>370,065</w:t>
            </w:r>
          </w:p>
        </w:tc>
        <w:tc>
          <w:tcPr>
            <w:tcW w:w="340" w:type="dxa"/>
            <w:vAlign w:val="bottom"/>
            <w:shd w:val="clear" w:color="auto" w:fill="EEEEEE"/>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EEEEEE"/>
          </w:tcPr>
          <w:p>
            <w:pPr>
              <w:jc w:val="right"/>
              <w:ind w:right="433"/>
              <w:spacing w:after="0"/>
              <w:rPr>
                <w:sz w:val="20"/>
                <w:szCs w:val="20"/>
                <w:color w:val="auto"/>
              </w:rPr>
            </w:pPr>
            <w:r>
              <w:rPr>
                <w:rFonts w:ascii="Arial" w:cs="Arial" w:eastAsia="Arial" w:hAnsi="Arial"/>
                <w:sz w:val="17"/>
                <w:szCs w:val="17"/>
                <w:color w:val="auto"/>
              </w:rPr>
              <w:t>370,065</w:t>
            </w:r>
          </w:p>
        </w:tc>
        <w:tc>
          <w:tcPr>
            <w:tcW w:w="960" w:type="dxa"/>
            <w:vAlign w:val="bottom"/>
            <w:gridSpan w:val="2"/>
            <w:shd w:val="clear" w:color="auto" w:fill="EEEEEE"/>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380" w:type="dxa"/>
            <w:vAlign w:val="bottom"/>
          </w:tcPr>
          <w:p>
            <w:pPr>
              <w:spacing w:after="0" w:line="240" w:lineRule="exact"/>
              <w:rPr>
                <w:sz w:val="20"/>
                <w:szCs w:val="20"/>
                <w:color w:val="auto"/>
              </w:rPr>
            </w:pPr>
            <w:r>
              <w:rPr>
                <w:rFonts w:ascii="Arial" w:cs="Arial" w:eastAsia="Arial" w:hAnsi="Arial"/>
                <w:sz w:val="16"/>
                <w:szCs w:val="16"/>
                <w:color w:val="auto"/>
              </w:rPr>
              <w:t>TCMP</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Partners (29)</w:t>
            </w:r>
          </w:p>
        </w:tc>
        <w:tc>
          <w:tcPr>
            <w:tcW w:w="2260" w:type="dxa"/>
            <w:vAlign w:val="bottom"/>
            <w:gridSpan w:val="2"/>
          </w:tcPr>
          <w:p>
            <w:pPr>
              <w:jc w:val="right"/>
              <w:ind w:right="793"/>
              <w:spacing w:after="0"/>
              <w:rPr>
                <w:sz w:val="20"/>
                <w:szCs w:val="20"/>
                <w:color w:val="auto"/>
              </w:rPr>
            </w:pPr>
            <w:r>
              <w:rPr>
                <w:rFonts w:ascii="Arial" w:cs="Arial" w:eastAsia="Arial" w:hAnsi="Arial"/>
                <w:sz w:val="17"/>
                <w:szCs w:val="17"/>
                <w:color w:val="auto"/>
              </w:rPr>
              <w:t>205,590</w:t>
            </w:r>
          </w:p>
        </w:tc>
        <w:tc>
          <w:tcPr>
            <w:tcW w:w="3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gridSpan w:val="2"/>
          </w:tcPr>
          <w:p>
            <w:pPr>
              <w:jc w:val="right"/>
              <w:ind w:right="433"/>
              <w:spacing w:after="0"/>
              <w:rPr>
                <w:sz w:val="20"/>
                <w:szCs w:val="20"/>
                <w:color w:val="auto"/>
              </w:rPr>
            </w:pPr>
            <w:r>
              <w:rPr>
                <w:rFonts w:ascii="Arial" w:cs="Arial" w:eastAsia="Arial" w:hAnsi="Arial"/>
                <w:sz w:val="17"/>
                <w:szCs w:val="17"/>
                <w:color w:val="auto"/>
              </w:rPr>
              <w:t>205,590</w:t>
            </w:r>
          </w:p>
        </w:tc>
        <w:tc>
          <w:tcPr>
            <w:tcW w:w="960" w:type="dxa"/>
            <w:vAlign w:val="bottom"/>
            <w:gridSpan w:val="2"/>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EEEEEE"/>
          </w:tcPr>
          <w:p>
            <w:pPr>
              <w:spacing w:after="0"/>
              <w:rPr>
                <w:sz w:val="20"/>
                <w:szCs w:val="20"/>
                <w:color w:val="auto"/>
              </w:rPr>
            </w:pPr>
            <w:r>
              <w:rPr>
                <w:rFonts w:ascii="Arial" w:cs="Arial" w:eastAsia="Arial" w:hAnsi="Arial"/>
                <w:sz w:val="17"/>
                <w:szCs w:val="17"/>
                <w:color w:val="auto"/>
              </w:rPr>
              <w:t>Truk International Fund, L.P. (30)</w:t>
            </w:r>
          </w:p>
        </w:tc>
        <w:tc>
          <w:tcPr>
            <w:tcW w:w="2260" w:type="dxa"/>
            <w:vAlign w:val="bottom"/>
            <w:gridSpan w:val="2"/>
            <w:shd w:val="clear" w:color="auto" w:fill="EEEEEE"/>
          </w:tcPr>
          <w:p>
            <w:pPr>
              <w:jc w:val="right"/>
              <w:ind w:right="793"/>
              <w:spacing w:after="0"/>
              <w:rPr>
                <w:sz w:val="20"/>
                <w:szCs w:val="20"/>
                <w:color w:val="auto"/>
              </w:rPr>
            </w:pPr>
            <w:r>
              <w:rPr>
                <w:rFonts w:ascii="Arial" w:cs="Arial" w:eastAsia="Arial" w:hAnsi="Arial"/>
                <w:sz w:val="17"/>
                <w:szCs w:val="17"/>
                <w:color w:val="auto"/>
              </w:rPr>
              <w:t>17,270</w:t>
            </w:r>
          </w:p>
        </w:tc>
        <w:tc>
          <w:tcPr>
            <w:tcW w:w="340" w:type="dxa"/>
            <w:vAlign w:val="bottom"/>
            <w:shd w:val="clear" w:color="auto" w:fill="EEEEEE"/>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EEEEEE"/>
          </w:tcPr>
          <w:p>
            <w:pPr>
              <w:jc w:val="right"/>
              <w:ind w:right="433"/>
              <w:spacing w:after="0"/>
              <w:rPr>
                <w:sz w:val="20"/>
                <w:szCs w:val="20"/>
                <w:color w:val="auto"/>
              </w:rPr>
            </w:pPr>
            <w:r>
              <w:rPr>
                <w:rFonts w:ascii="Arial" w:cs="Arial" w:eastAsia="Arial" w:hAnsi="Arial"/>
                <w:sz w:val="17"/>
                <w:szCs w:val="17"/>
                <w:color w:val="auto"/>
              </w:rPr>
              <w:t>17,270</w:t>
            </w:r>
          </w:p>
        </w:tc>
        <w:tc>
          <w:tcPr>
            <w:tcW w:w="960" w:type="dxa"/>
            <w:vAlign w:val="bottom"/>
            <w:gridSpan w:val="2"/>
            <w:shd w:val="clear" w:color="auto" w:fill="EEEEEE"/>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tcPr>
          <w:p>
            <w:pPr>
              <w:spacing w:after="0"/>
              <w:rPr>
                <w:sz w:val="20"/>
                <w:szCs w:val="20"/>
                <w:color w:val="auto"/>
              </w:rPr>
            </w:pPr>
            <w:r>
              <w:rPr>
                <w:rFonts w:ascii="Arial" w:cs="Arial" w:eastAsia="Arial" w:hAnsi="Arial"/>
                <w:sz w:val="17"/>
                <w:szCs w:val="17"/>
                <w:color w:val="auto"/>
              </w:rPr>
              <w:t>Truk Opportunity Fund, LLC (31)</w:t>
            </w:r>
          </w:p>
        </w:tc>
        <w:tc>
          <w:tcPr>
            <w:tcW w:w="2260" w:type="dxa"/>
            <w:vAlign w:val="bottom"/>
            <w:gridSpan w:val="2"/>
          </w:tcPr>
          <w:p>
            <w:pPr>
              <w:jc w:val="right"/>
              <w:ind w:right="793"/>
              <w:spacing w:after="0"/>
              <w:rPr>
                <w:sz w:val="20"/>
                <w:szCs w:val="20"/>
                <w:color w:val="auto"/>
              </w:rPr>
            </w:pPr>
            <w:r>
              <w:rPr>
                <w:rFonts w:ascii="Arial" w:cs="Arial" w:eastAsia="Arial" w:hAnsi="Arial"/>
                <w:sz w:val="17"/>
                <w:szCs w:val="17"/>
                <w:color w:val="auto"/>
              </w:rPr>
              <w:t>229,440</w:t>
            </w:r>
          </w:p>
        </w:tc>
        <w:tc>
          <w:tcPr>
            <w:tcW w:w="3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gridSpan w:val="2"/>
          </w:tcPr>
          <w:p>
            <w:pPr>
              <w:jc w:val="right"/>
              <w:ind w:right="433"/>
              <w:spacing w:after="0"/>
              <w:rPr>
                <w:sz w:val="20"/>
                <w:szCs w:val="20"/>
                <w:color w:val="auto"/>
              </w:rPr>
            </w:pPr>
            <w:r>
              <w:rPr>
                <w:rFonts w:ascii="Arial" w:cs="Arial" w:eastAsia="Arial" w:hAnsi="Arial"/>
                <w:sz w:val="17"/>
                <w:szCs w:val="17"/>
                <w:color w:val="auto"/>
              </w:rPr>
              <w:t>229,440</w:t>
            </w:r>
          </w:p>
        </w:tc>
        <w:tc>
          <w:tcPr>
            <w:tcW w:w="960" w:type="dxa"/>
            <w:vAlign w:val="bottom"/>
            <w:gridSpan w:val="2"/>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80" w:type="dxa"/>
            <w:vAlign w:val="bottom"/>
            <w:shd w:val="clear" w:color="auto" w:fill="EEEEEE"/>
          </w:tcPr>
          <w:p>
            <w:pPr>
              <w:spacing w:after="0" w:line="190" w:lineRule="exact"/>
              <w:rPr>
                <w:sz w:val="20"/>
                <w:szCs w:val="20"/>
                <w:color w:val="auto"/>
              </w:rPr>
            </w:pPr>
            <w:r>
              <w:rPr>
                <w:rFonts w:ascii="Arial" w:cs="Arial" w:eastAsia="Arial" w:hAnsi="Arial"/>
                <w:sz w:val="17"/>
                <w:szCs w:val="17"/>
                <w:color w:val="auto"/>
                <w:w w:val="94"/>
              </w:rPr>
              <w:t>UBS O’Connor LLC f/b/o O’Connor PIPES Corporate Strategies Master Ltd.</w:t>
            </w:r>
          </w:p>
        </w:tc>
        <w:tc>
          <w:tcPr>
            <w:tcW w:w="300" w:type="dxa"/>
            <w:vAlign w:val="bottom"/>
            <w:shd w:val="clear" w:color="auto" w:fill="EEEEEE"/>
          </w:tcPr>
          <w:p>
            <w:pPr>
              <w:spacing w:after="0"/>
              <w:rPr>
                <w:sz w:val="16"/>
                <w:szCs w:val="16"/>
                <w:color w:val="auto"/>
              </w:rPr>
            </w:pPr>
          </w:p>
        </w:tc>
        <w:tc>
          <w:tcPr>
            <w:tcW w:w="196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56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660" w:type="dxa"/>
            <w:vAlign w:val="bottom"/>
            <w:shd w:val="clear" w:color="auto" w:fill="EEEEEE"/>
          </w:tcPr>
          <w:p>
            <w:pPr>
              <w:spacing w:after="0"/>
              <w:rPr>
                <w:sz w:val="16"/>
                <w:szCs w:val="16"/>
                <w:color w:val="auto"/>
              </w:rPr>
            </w:pPr>
          </w:p>
        </w:tc>
        <w:tc>
          <w:tcPr>
            <w:tcW w:w="600" w:type="dxa"/>
            <w:vAlign w:val="bottom"/>
            <w:shd w:val="clear" w:color="auto" w:fill="EEEEE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380" w:type="dxa"/>
            <w:vAlign w:val="bottom"/>
            <w:shd w:val="clear" w:color="auto" w:fill="EEEEEE"/>
          </w:tcPr>
          <w:p>
            <w:pPr>
              <w:ind w:left="120"/>
              <w:spacing w:after="0"/>
              <w:rPr>
                <w:sz w:val="20"/>
                <w:szCs w:val="20"/>
                <w:color w:val="auto"/>
              </w:rPr>
            </w:pPr>
            <w:r>
              <w:rPr>
                <w:rFonts w:ascii="Arial" w:cs="Arial" w:eastAsia="Arial" w:hAnsi="Arial"/>
                <w:sz w:val="17"/>
                <w:szCs w:val="17"/>
                <w:color w:val="auto"/>
              </w:rPr>
              <w:t>(32)</w:t>
            </w:r>
          </w:p>
        </w:tc>
        <w:tc>
          <w:tcPr>
            <w:tcW w:w="2260" w:type="dxa"/>
            <w:vAlign w:val="bottom"/>
            <w:gridSpan w:val="2"/>
            <w:shd w:val="clear" w:color="auto" w:fill="EEEEEE"/>
          </w:tcPr>
          <w:p>
            <w:pPr>
              <w:jc w:val="right"/>
              <w:ind w:right="793"/>
              <w:spacing w:after="0"/>
              <w:rPr>
                <w:sz w:val="20"/>
                <w:szCs w:val="20"/>
                <w:color w:val="auto"/>
              </w:rPr>
            </w:pPr>
            <w:r>
              <w:rPr>
                <w:rFonts w:ascii="Arial" w:cs="Arial" w:eastAsia="Arial" w:hAnsi="Arial"/>
                <w:sz w:val="17"/>
                <w:szCs w:val="17"/>
                <w:color w:val="auto"/>
              </w:rPr>
              <w:t>125,000</w:t>
            </w:r>
          </w:p>
        </w:tc>
        <w:tc>
          <w:tcPr>
            <w:tcW w:w="340" w:type="dxa"/>
            <w:vAlign w:val="bottom"/>
            <w:shd w:val="clear" w:color="auto" w:fill="EEEEEE"/>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EEEEEE"/>
          </w:tcPr>
          <w:p>
            <w:pPr>
              <w:jc w:val="right"/>
              <w:ind w:right="433"/>
              <w:spacing w:after="0"/>
              <w:rPr>
                <w:sz w:val="20"/>
                <w:szCs w:val="20"/>
                <w:color w:val="auto"/>
              </w:rPr>
            </w:pPr>
            <w:r>
              <w:rPr>
                <w:rFonts w:ascii="Arial" w:cs="Arial" w:eastAsia="Arial" w:hAnsi="Arial"/>
                <w:sz w:val="17"/>
                <w:szCs w:val="17"/>
                <w:color w:val="auto"/>
              </w:rPr>
              <w:t>125,000</w:t>
            </w:r>
          </w:p>
        </w:tc>
        <w:tc>
          <w:tcPr>
            <w:tcW w:w="960" w:type="dxa"/>
            <w:vAlign w:val="bottom"/>
            <w:gridSpan w:val="2"/>
            <w:shd w:val="clear" w:color="auto" w:fill="EEEEEE"/>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80" w:type="dxa"/>
            <w:vAlign w:val="bottom"/>
          </w:tcPr>
          <w:p>
            <w:pPr>
              <w:spacing w:after="0"/>
              <w:rPr>
                <w:sz w:val="20"/>
                <w:szCs w:val="20"/>
                <w:color w:val="auto"/>
              </w:rPr>
            </w:pPr>
            <w:r>
              <w:rPr>
                <w:rFonts w:ascii="Arial" w:cs="Arial" w:eastAsia="Arial" w:hAnsi="Arial"/>
                <w:sz w:val="17"/>
                <w:szCs w:val="17"/>
                <w:color w:val="auto"/>
              </w:rPr>
              <w:t>Vicis Capital Master Fund (33)</w:t>
            </w:r>
          </w:p>
        </w:tc>
        <w:tc>
          <w:tcPr>
            <w:tcW w:w="2260" w:type="dxa"/>
            <w:vAlign w:val="bottom"/>
            <w:gridSpan w:val="2"/>
          </w:tcPr>
          <w:p>
            <w:pPr>
              <w:jc w:val="right"/>
              <w:ind w:right="793"/>
              <w:spacing w:after="0"/>
              <w:rPr>
                <w:sz w:val="20"/>
                <w:szCs w:val="20"/>
                <w:color w:val="auto"/>
              </w:rPr>
            </w:pPr>
            <w:r>
              <w:rPr>
                <w:rFonts w:ascii="Arial" w:cs="Arial" w:eastAsia="Arial" w:hAnsi="Arial"/>
                <w:sz w:val="17"/>
                <w:szCs w:val="17"/>
                <w:color w:val="auto"/>
              </w:rPr>
              <w:t>41,120</w:t>
            </w:r>
          </w:p>
        </w:tc>
        <w:tc>
          <w:tcPr>
            <w:tcW w:w="3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gridSpan w:val="2"/>
          </w:tcPr>
          <w:p>
            <w:pPr>
              <w:jc w:val="right"/>
              <w:ind w:right="433"/>
              <w:spacing w:after="0"/>
              <w:rPr>
                <w:sz w:val="20"/>
                <w:szCs w:val="20"/>
                <w:color w:val="auto"/>
              </w:rPr>
            </w:pPr>
            <w:r>
              <w:rPr>
                <w:rFonts w:ascii="Arial" w:cs="Arial" w:eastAsia="Arial" w:hAnsi="Arial"/>
                <w:sz w:val="17"/>
                <w:szCs w:val="17"/>
                <w:color w:val="auto"/>
              </w:rPr>
              <w:t>41,120</w:t>
            </w:r>
          </w:p>
        </w:tc>
        <w:tc>
          <w:tcPr>
            <w:tcW w:w="960" w:type="dxa"/>
            <w:vAlign w:val="bottom"/>
            <w:gridSpan w:val="2"/>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EEEEEE"/>
          </w:tcPr>
          <w:p>
            <w:pPr>
              <w:spacing w:after="0"/>
              <w:rPr>
                <w:sz w:val="20"/>
                <w:szCs w:val="20"/>
                <w:color w:val="auto"/>
              </w:rPr>
            </w:pPr>
            <w:r>
              <w:rPr>
                <w:rFonts w:ascii="Arial" w:cs="Arial" w:eastAsia="Arial" w:hAnsi="Arial"/>
                <w:sz w:val="17"/>
                <w:szCs w:val="17"/>
                <w:color w:val="auto"/>
              </w:rPr>
              <w:t>Victus Capital, L.P. (34)</w:t>
            </w:r>
          </w:p>
        </w:tc>
        <w:tc>
          <w:tcPr>
            <w:tcW w:w="2260" w:type="dxa"/>
            <w:vAlign w:val="bottom"/>
            <w:gridSpan w:val="2"/>
            <w:shd w:val="clear" w:color="auto" w:fill="EEEEEE"/>
          </w:tcPr>
          <w:p>
            <w:pPr>
              <w:jc w:val="right"/>
              <w:ind w:right="793"/>
              <w:spacing w:after="0"/>
              <w:rPr>
                <w:sz w:val="20"/>
                <w:szCs w:val="20"/>
                <w:color w:val="auto"/>
              </w:rPr>
            </w:pPr>
            <w:r>
              <w:rPr>
                <w:rFonts w:ascii="Arial" w:cs="Arial" w:eastAsia="Arial" w:hAnsi="Arial"/>
                <w:sz w:val="17"/>
                <w:szCs w:val="17"/>
                <w:color w:val="auto"/>
              </w:rPr>
              <w:t>164,475</w:t>
            </w:r>
          </w:p>
        </w:tc>
        <w:tc>
          <w:tcPr>
            <w:tcW w:w="340" w:type="dxa"/>
            <w:vAlign w:val="bottom"/>
            <w:shd w:val="clear" w:color="auto" w:fill="EEEEEE"/>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EEEEEE"/>
          </w:tcPr>
          <w:p>
            <w:pPr>
              <w:jc w:val="right"/>
              <w:ind w:right="433"/>
              <w:spacing w:after="0"/>
              <w:rPr>
                <w:sz w:val="20"/>
                <w:szCs w:val="20"/>
                <w:color w:val="auto"/>
              </w:rPr>
            </w:pPr>
            <w:r>
              <w:rPr>
                <w:rFonts w:ascii="Arial" w:cs="Arial" w:eastAsia="Arial" w:hAnsi="Arial"/>
                <w:sz w:val="17"/>
                <w:szCs w:val="17"/>
                <w:color w:val="auto"/>
              </w:rPr>
              <w:t>164,475</w:t>
            </w:r>
          </w:p>
        </w:tc>
        <w:tc>
          <w:tcPr>
            <w:tcW w:w="960" w:type="dxa"/>
            <w:vAlign w:val="bottom"/>
            <w:gridSpan w:val="2"/>
            <w:shd w:val="clear" w:color="auto" w:fill="EEEEEE"/>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tcPr>
          <w:p>
            <w:pPr>
              <w:spacing w:after="0"/>
              <w:rPr>
                <w:sz w:val="20"/>
                <w:szCs w:val="20"/>
                <w:color w:val="auto"/>
              </w:rPr>
            </w:pPr>
            <w:r>
              <w:rPr>
                <w:rFonts w:ascii="Arial" w:cs="Arial" w:eastAsia="Arial" w:hAnsi="Arial"/>
                <w:sz w:val="17"/>
                <w:szCs w:val="17"/>
                <w:color w:val="auto"/>
              </w:rPr>
              <w:t>Whalehaven Fund Limited (35)</w:t>
            </w:r>
          </w:p>
        </w:tc>
        <w:tc>
          <w:tcPr>
            <w:tcW w:w="2260" w:type="dxa"/>
            <w:vAlign w:val="bottom"/>
            <w:gridSpan w:val="2"/>
          </w:tcPr>
          <w:p>
            <w:pPr>
              <w:jc w:val="right"/>
              <w:ind w:right="793"/>
              <w:spacing w:after="0"/>
              <w:rPr>
                <w:sz w:val="20"/>
                <w:szCs w:val="20"/>
                <w:color w:val="auto"/>
              </w:rPr>
            </w:pPr>
            <w:r>
              <w:rPr>
                <w:rFonts w:ascii="Arial" w:cs="Arial" w:eastAsia="Arial" w:hAnsi="Arial"/>
                <w:sz w:val="17"/>
                <w:szCs w:val="17"/>
                <w:color w:val="auto"/>
              </w:rPr>
              <w:t>123,355</w:t>
            </w:r>
          </w:p>
        </w:tc>
        <w:tc>
          <w:tcPr>
            <w:tcW w:w="3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gridSpan w:val="2"/>
          </w:tcPr>
          <w:p>
            <w:pPr>
              <w:jc w:val="right"/>
              <w:ind w:right="433"/>
              <w:spacing w:after="0"/>
              <w:rPr>
                <w:sz w:val="20"/>
                <w:szCs w:val="20"/>
                <w:color w:val="auto"/>
              </w:rPr>
            </w:pPr>
            <w:r>
              <w:rPr>
                <w:rFonts w:ascii="Arial" w:cs="Arial" w:eastAsia="Arial" w:hAnsi="Arial"/>
                <w:sz w:val="17"/>
                <w:szCs w:val="17"/>
                <w:color w:val="auto"/>
              </w:rPr>
              <w:t>123,355</w:t>
            </w:r>
          </w:p>
        </w:tc>
        <w:tc>
          <w:tcPr>
            <w:tcW w:w="960" w:type="dxa"/>
            <w:vAlign w:val="bottom"/>
            <w:gridSpan w:val="2"/>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EEEEEE"/>
          </w:tcPr>
          <w:p>
            <w:pPr>
              <w:spacing w:after="0"/>
              <w:rPr>
                <w:sz w:val="20"/>
                <w:szCs w:val="20"/>
                <w:color w:val="auto"/>
              </w:rPr>
            </w:pPr>
            <w:r>
              <w:rPr>
                <w:rFonts w:ascii="Arial" w:cs="Arial" w:eastAsia="Arial" w:hAnsi="Arial"/>
                <w:sz w:val="17"/>
                <w:szCs w:val="17"/>
                <w:color w:val="auto"/>
              </w:rPr>
              <w:t>C.E. Unterberg, Towbin LLC (36)</w:t>
            </w:r>
          </w:p>
        </w:tc>
        <w:tc>
          <w:tcPr>
            <w:tcW w:w="2260" w:type="dxa"/>
            <w:vAlign w:val="bottom"/>
            <w:gridSpan w:val="2"/>
            <w:shd w:val="clear" w:color="auto" w:fill="EEEEEE"/>
          </w:tcPr>
          <w:p>
            <w:pPr>
              <w:jc w:val="right"/>
              <w:ind w:right="793"/>
              <w:spacing w:after="0"/>
              <w:rPr>
                <w:sz w:val="20"/>
                <w:szCs w:val="20"/>
                <w:color w:val="auto"/>
              </w:rPr>
            </w:pPr>
            <w:r>
              <w:rPr>
                <w:rFonts w:ascii="Arial" w:cs="Arial" w:eastAsia="Arial" w:hAnsi="Arial"/>
                <w:sz w:val="17"/>
                <w:szCs w:val="17"/>
                <w:color w:val="auto"/>
              </w:rPr>
              <w:t>526,400</w:t>
            </w:r>
          </w:p>
        </w:tc>
        <w:tc>
          <w:tcPr>
            <w:tcW w:w="340" w:type="dxa"/>
            <w:vAlign w:val="bottom"/>
            <w:shd w:val="clear" w:color="auto" w:fill="EEEEEE"/>
          </w:tcPr>
          <w:p>
            <w:pPr>
              <w:jc w:val="right"/>
              <w:ind w:right="16"/>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EEEEEE"/>
          </w:tcPr>
          <w:p>
            <w:pPr>
              <w:jc w:val="right"/>
              <w:ind w:right="433"/>
              <w:spacing w:after="0"/>
              <w:rPr>
                <w:sz w:val="20"/>
                <w:szCs w:val="20"/>
                <w:color w:val="auto"/>
              </w:rPr>
            </w:pPr>
            <w:r>
              <w:rPr>
                <w:rFonts w:ascii="Arial" w:cs="Arial" w:eastAsia="Arial" w:hAnsi="Arial"/>
                <w:sz w:val="17"/>
                <w:szCs w:val="17"/>
                <w:color w:val="auto"/>
              </w:rPr>
              <w:t>526,400</w:t>
            </w:r>
          </w:p>
        </w:tc>
        <w:tc>
          <w:tcPr>
            <w:tcW w:w="960" w:type="dxa"/>
            <w:vAlign w:val="bottom"/>
            <w:gridSpan w:val="2"/>
            <w:shd w:val="clear" w:color="auto" w:fill="EEEEEE"/>
          </w:tcPr>
          <w:p>
            <w:pPr>
              <w:jc w:val="right"/>
              <w:ind w:right="313"/>
              <w:spacing w:after="0"/>
              <w:rPr>
                <w:sz w:val="20"/>
                <w:szCs w:val="20"/>
                <w:color w:val="auto"/>
              </w:rPr>
            </w:pPr>
            <w:r>
              <w:rPr>
                <w:rFonts w:ascii="Arial" w:cs="Arial" w:eastAsia="Arial" w:hAnsi="Arial"/>
                <w:sz w:val="17"/>
                <w:szCs w:val="17"/>
                <w:color w:val="auto"/>
              </w:rPr>
              <w:t>0</w:t>
            </w:r>
          </w:p>
        </w:tc>
        <w:tc>
          <w:tcPr>
            <w:tcW w:w="60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3239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84" w:lineRule="exact"/>
        <w:rPr>
          <w:sz w:val="20"/>
          <w:szCs w:val="20"/>
          <w:color w:val="auto"/>
        </w:rPr>
      </w:pPr>
    </w:p>
    <w:p>
      <w:pPr>
        <w:ind w:left="540" w:right="520" w:hanging="533"/>
        <w:spacing w:after="0" w:line="271"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Assumes that all of the shares held by the selling stockholders and being offered under this prospectus are sold and that the selling stockholders acquire no additional shares of common stock before the completion of this offering.</w:t>
      </w:r>
    </w:p>
    <w:p>
      <w:pPr>
        <w:spacing w:after="0" w:line="165" w:lineRule="exact"/>
        <w:rPr>
          <w:rFonts w:ascii="Arial" w:cs="Arial" w:eastAsia="Arial" w:hAnsi="Arial"/>
          <w:sz w:val="17"/>
          <w:szCs w:val="17"/>
          <w:color w:val="auto"/>
        </w:rPr>
      </w:pPr>
    </w:p>
    <w:p>
      <w:pPr>
        <w:ind w:left="540" w:hanging="533"/>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328,944 shares of common stock and 82,236 shares issuable upon exercise of common stock purchase warrants.</w:t>
      </w:r>
    </w:p>
    <w:p>
      <w:pPr>
        <w:spacing w:after="0" w:line="208" w:lineRule="exact"/>
        <w:rPr>
          <w:rFonts w:ascii="Arial" w:cs="Arial" w:eastAsia="Arial" w:hAnsi="Arial"/>
          <w:sz w:val="17"/>
          <w:szCs w:val="17"/>
          <w:color w:val="auto"/>
        </w:rPr>
      </w:pPr>
    </w:p>
    <w:p>
      <w:pPr>
        <w:ind w:left="540" w:right="40" w:hanging="533"/>
        <w:spacing w:after="0" w:line="259"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444,080 shares of common stock and 111,020 shares issuable upon exercise of common stock purchase warrants. Basso Capital Management, L.P. is the Investment Manager to Basso Equity Opportunity Holding fund Ltd. Howard I. Fischer is a managing member of Basso GP, LLC, the General Partner of Basso Capital Management, L.P.</w:t>
      </w:r>
    </w:p>
    <w:p>
      <w:pPr>
        <w:spacing w:after="0" w:line="176" w:lineRule="exact"/>
        <w:rPr>
          <w:rFonts w:ascii="Arial" w:cs="Arial" w:eastAsia="Arial" w:hAnsi="Arial"/>
          <w:sz w:val="17"/>
          <w:szCs w:val="17"/>
          <w:color w:val="auto"/>
        </w:rPr>
      </w:pPr>
    </w:p>
    <w:p>
      <w:pPr>
        <w:jc w:val="both"/>
        <w:ind w:left="540" w:right="220" w:hanging="533"/>
        <w:spacing w:after="0" w:line="259"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1,200,660 shares of common stock and 300,165 shares issuable upon exercise of common stock purchase warrants. Basso Asset Management, L.P. is the Investment Manager to Basso Multi-Strategy Holding Fund Ltd. Howard I. Fischer is a managing member of Basso GP, LLC, the General Partner of Basso Asset Management, L.P.</w:t>
      </w:r>
    </w:p>
    <w:p>
      <w:pPr>
        <w:spacing w:after="0" w:line="176" w:lineRule="exact"/>
        <w:rPr>
          <w:rFonts w:ascii="Arial" w:cs="Arial" w:eastAsia="Arial" w:hAnsi="Arial"/>
          <w:sz w:val="17"/>
          <w:szCs w:val="17"/>
          <w:color w:val="auto"/>
        </w:rPr>
      </w:pPr>
    </w:p>
    <w:p>
      <w:pPr>
        <w:ind w:left="540" w:right="120" w:hanging="533"/>
        <w:spacing w:after="0" w:line="300" w:lineRule="auto"/>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Includes 505,000 shares of common stock and 126,250 shares issuable upon exercise of common stock purchase warrants. The selling stockholder is or may be an affiliate of a registered broker-dealer. We have been informed by each selling stockholder that such selling stockholder acquired the securities offered by this prospectus for its own account in the ordinary course of business, and that, at the time it acquired the securities, it had no agreement or understanding, direct or indirect, with any person to distribute such securities. Thomas I. Unterberg and Michelle O’Connor exercise voting and investment control over these securities.</w:t>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5995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60"/>
          </w:cols>
          <w:pgMar w:left="240" w:top="402" w:right="19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620" w:hanging="524"/>
        <w:spacing w:after="0" w:line="270"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328,948 shares of common stock and 82,237 shares issuable upon exercise of common stock purchase warrants. The selling stockholder is or may be an affiliate of a registered broker-dealer. We have been informed by each selling stockholder that such selling stockholder acquired the securities offered by this prospectus for its own account in the ordinary course of business, and that, at the time it acquired the securities, it had no agreement or understanding, direct or indirect, with any person to distribute such securities. Heights Capital Management, Inc., the authorized agent of Capital Ventures International (“CVI”), has discretionary authority to vote and dispose of shares held by CVI and may be deemed to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w:t>
      </w:r>
    </w:p>
    <w:p>
      <w:pPr>
        <w:spacing w:after="0" w:line="168" w:lineRule="exact"/>
        <w:rPr>
          <w:rFonts w:ascii="Arial" w:cs="Arial" w:eastAsia="Arial" w:hAnsi="Arial"/>
          <w:sz w:val="16"/>
          <w:szCs w:val="16"/>
          <w:color w:val="auto"/>
        </w:rPr>
      </w:pPr>
    </w:p>
    <w:p>
      <w:pPr>
        <w:ind w:left="620" w:right="20" w:hanging="524"/>
        <w:spacing w:after="0" w:line="270"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328,948 shares of common stock and 82,237 shares issuable upon exercise of common stock purchase warrants. The selling stockholder is or may be an affiliate of a registered broker-dealer. We have been informed by each selling stockholder that such selling stockholder acquired the securities offered by this prospectus for its own account in the ordinary course of business, and that, at the time it acquired the securities, it had no agreement or understanding, direct or indirect, with any person to distribute such securities. As investment manager under a management agreement, Castle Creek Partners, LLC may exercise dispositive and voting power with respect to the shares owned by Castle Creek Healthcare Partners, LLC. Castle Creek Partners, LLC disclaims beneficial ownership of such shares. Daniel Asher is the managing member of Castle Creek Partners, LLC. Mr. Asher disclaims beneficial ownership of the shares owned by Castle Creek Healthcare Partners, LLC.</w:t>
      </w:r>
    </w:p>
    <w:p>
      <w:pPr>
        <w:spacing w:after="0" w:line="168" w:lineRule="exact"/>
        <w:rPr>
          <w:rFonts w:ascii="Arial" w:cs="Arial" w:eastAsia="Arial" w:hAnsi="Arial"/>
          <w:sz w:val="16"/>
          <w:szCs w:val="16"/>
          <w:color w:val="auto"/>
        </w:rPr>
      </w:pPr>
    </w:p>
    <w:p>
      <w:pPr>
        <w:ind w:left="620" w:right="400" w:hanging="524"/>
        <w:spacing w:after="0" w:line="303"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657,896 shares of common stock and 164,474 shares issuable upon exercise of common stock purchase warrants. Mitchell P. Kopin, President of Downsview Capital, Inc., the general partner of Cranshire Capital, L.P. has sole voting and investment control over these securities.</w:t>
      </w:r>
    </w:p>
    <w:p>
      <w:pPr>
        <w:spacing w:after="0" w:line="142" w:lineRule="exact"/>
        <w:rPr>
          <w:rFonts w:ascii="Arial" w:cs="Arial" w:eastAsia="Arial" w:hAnsi="Arial"/>
          <w:sz w:val="16"/>
          <w:szCs w:val="16"/>
          <w:color w:val="auto"/>
        </w:rPr>
      </w:pPr>
    </w:p>
    <w:p>
      <w:pPr>
        <w:ind w:left="620" w:right="20" w:hanging="524"/>
        <w:spacing w:after="0" w:line="300" w:lineRule="auto"/>
        <w:tabs>
          <w:tab w:leader="none" w:pos="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230,264 shares of common stock and 57,566 shares issuable upon exercise of common stock purchase warrants. The selling stockholder is or may be an affiliate of a registered broker-dealer. We have been informed by each selling stockholder that such selling stockholder acquired the securities offered by this prospectus for its own account in the ordinary course of business, and that, at the time it acquired the securities, it had no agreement or understanding, direct or indirect, with any person to distribute such securities. Mitch Levine exercises voting and investment control over these securities.</w:t>
      </w:r>
    </w:p>
    <w:p>
      <w:pPr>
        <w:spacing w:after="0" w:line="148" w:lineRule="exact"/>
        <w:rPr>
          <w:rFonts w:ascii="Arial" w:cs="Arial" w:eastAsia="Arial" w:hAnsi="Arial"/>
          <w:sz w:val="15"/>
          <w:szCs w:val="15"/>
          <w:color w:val="auto"/>
        </w:rPr>
      </w:pPr>
    </w:p>
    <w:p>
      <w:pPr>
        <w:ind w:left="620" w:right="140" w:hanging="609"/>
        <w:spacing w:after="0" w:line="271"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330,000 shares of common stock and 82,500 shares issuable upon exercise of common stock purchase warrants. William S. Hechter exercises voting and investment control over these securities.</w:t>
      </w:r>
    </w:p>
    <w:p>
      <w:pPr>
        <w:spacing w:after="0" w:line="165" w:lineRule="exact"/>
        <w:rPr>
          <w:rFonts w:ascii="Arial" w:cs="Arial" w:eastAsia="Arial" w:hAnsi="Arial"/>
          <w:sz w:val="17"/>
          <w:szCs w:val="17"/>
          <w:color w:val="auto"/>
        </w:rPr>
      </w:pPr>
    </w:p>
    <w:p>
      <w:pPr>
        <w:ind w:left="620" w:hanging="602"/>
        <w:spacing w:after="0" w:line="271"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65,788 shares of common stock and 16,447 shares issuable upon exercise of common stock purchase warrants. Evan Schemenauer, Jonathan Walk and Don Dunstan exercise voting and investment control over these securities.</w:t>
      </w:r>
    </w:p>
    <w:p>
      <w:pPr>
        <w:spacing w:after="0" w:line="165" w:lineRule="exact"/>
        <w:rPr>
          <w:rFonts w:ascii="Arial" w:cs="Arial" w:eastAsia="Arial" w:hAnsi="Arial"/>
          <w:sz w:val="17"/>
          <w:szCs w:val="17"/>
          <w:color w:val="auto"/>
        </w:rPr>
      </w:pPr>
    </w:p>
    <w:p>
      <w:pPr>
        <w:ind w:left="620" w:right="120" w:hanging="609"/>
        <w:spacing w:after="0" w:line="271"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822,372 shares of common stock and 205,593 shares issuable upon exercise of common stock purchase warrants. E.B. Lyon, IV exercises voting and investment control over these securities.</w:t>
      </w:r>
    </w:p>
    <w:p>
      <w:pPr>
        <w:spacing w:after="0" w:line="165" w:lineRule="exact"/>
        <w:rPr>
          <w:rFonts w:ascii="Arial" w:cs="Arial" w:eastAsia="Arial" w:hAnsi="Arial"/>
          <w:sz w:val="17"/>
          <w:szCs w:val="17"/>
          <w:color w:val="auto"/>
        </w:rPr>
      </w:pPr>
    </w:p>
    <w:p>
      <w:pPr>
        <w:ind w:left="620" w:hanging="609"/>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2,302,632 shares of common stock and 575,658 shares issuable upon exercise of common stock purchase warrants.</w:t>
      </w:r>
    </w:p>
    <w:p>
      <w:pPr>
        <w:spacing w:after="0" w:line="208" w:lineRule="exact"/>
        <w:rPr>
          <w:rFonts w:ascii="Arial" w:cs="Arial" w:eastAsia="Arial" w:hAnsi="Arial"/>
          <w:sz w:val="17"/>
          <w:szCs w:val="17"/>
          <w:color w:val="auto"/>
        </w:rPr>
      </w:pPr>
    </w:p>
    <w:p>
      <w:pPr>
        <w:ind w:left="620" w:right="20" w:hanging="609"/>
        <w:spacing w:after="0" w:line="270"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493,420 shares of common stock and 123,355 shares issuable upon exercise of common stock purchase warrants. The selling stockholder is or may be an affiliate of a registered broker-dealer. We have been informed by each selling stockholder that such selling stockholder acquired the securities offered by this prospectus for its own account in the ordinary course of business, and that, at the time it acquired the securities, it had no agreement or understanding, direct or indirect, with any person to distribute such securities. HBK Investments L.P. may be deemed to have sole voting power and sole dispositive power over the shares held by Heimdall Investments Ltd. pursuant to an Investment Management Agreement between HBK Investments L.P. and Heimdall Investments Ltd. The following individuals have control over HBK Investments L.P. and disclaim beneficial ownership over these securities: Kenneth M. Hirsh, Laurence H. Lebowitz, William E. Rose, Richard L. Booth, David C. Haley and Jamiel A. Akhter.</w:t>
      </w:r>
    </w:p>
    <w:p>
      <w:pPr>
        <w:spacing w:after="0" w:line="168" w:lineRule="exact"/>
        <w:rPr>
          <w:rFonts w:ascii="Arial" w:cs="Arial" w:eastAsia="Arial" w:hAnsi="Arial"/>
          <w:sz w:val="16"/>
          <w:szCs w:val="16"/>
          <w:color w:val="auto"/>
        </w:rPr>
      </w:pPr>
    </w:p>
    <w:p>
      <w:pPr>
        <w:ind w:left="620" w:right="240" w:hanging="609"/>
        <w:spacing w:after="0" w:line="271"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328,948 shares of common stock and 82,237 shares issuable upon exercise of common stock purchase warrants. Joshua Silverman exercises voting and investment control over these securities.</w:t>
      </w:r>
    </w:p>
    <w:p>
      <w:pPr>
        <w:spacing w:after="0" w:line="165" w:lineRule="exact"/>
        <w:rPr>
          <w:rFonts w:ascii="Arial" w:cs="Arial" w:eastAsia="Arial" w:hAnsi="Arial"/>
          <w:sz w:val="17"/>
          <w:szCs w:val="17"/>
          <w:color w:val="auto"/>
        </w:rPr>
      </w:pPr>
    </w:p>
    <w:p>
      <w:pPr>
        <w:ind w:left="620" w:right="180" w:hanging="609"/>
        <w:spacing w:after="0" w:line="271"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493,420 shares of common stock and 123,355 shares issuable upon exercise of common stock purchase warrants. JMG Capital Partners, L.P. (“JMG Partners”) is a California limited partnership. Its general</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5995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620" w:right="80"/>
        <w:spacing w:after="0" w:line="254" w:lineRule="auto"/>
        <w:rPr>
          <w:sz w:val="20"/>
          <w:szCs w:val="20"/>
          <w:color w:val="auto"/>
        </w:rPr>
      </w:pPr>
      <w:r>
        <w:rPr>
          <w:rFonts w:ascii="Arial" w:cs="Arial" w:eastAsia="Arial" w:hAnsi="Arial"/>
          <w:sz w:val="17"/>
          <w:szCs w:val="17"/>
          <w:color w:val="auto"/>
        </w:rPr>
        <w:t>partner is JMG Capital Management, LLC (the “Manager”), a Delaware limited liability company and an investment adviser registered with the Securities and Exchange Commission (the “SEC”). The Manager has voting and dispositive power over JMG Partners’ investments, including the Registrable Securities. The equity interests of the Manager are owned by JMG Capital Management, Inc., (“JMG Capital”) a Delaware corporation, and Asset Alliance Holding Corp., a Delaware corporation. Jonathan M. Glaser is the Executive Officer and Director of JMG Capital and has sole investment discretion over JMG Partners’ portfolio holdings.</w:t>
      </w:r>
    </w:p>
    <w:p>
      <w:pPr>
        <w:spacing w:after="0" w:line="179" w:lineRule="exact"/>
        <w:rPr>
          <w:sz w:val="20"/>
          <w:szCs w:val="20"/>
          <w:color w:val="auto"/>
        </w:rPr>
      </w:pPr>
    </w:p>
    <w:p>
      <w:pPr>
        <w:ind w:left="620" w:right="20" w:hanging="609"/>
        <w:spacing w:after="0" w:line="252"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493,420 shares of common stock and 123,355 shares issuable upon exercise of common stock purchase warrants. JMG Triton Offshore Fund, Ltd. (the “Fund”) is an international business company under the laws of the British Virgin Islands. The Fund’s investment manager is Pacific Assets Management LLC, a Delaware limited liability company (the “Manager”). The Manager is an investment adviser registered with the Securities and Exchange Commission and has voting and dispositive power over the Fund’s investments, including the Registrable Securities. The equity interests of the Manager are owned by Pacific Capital Management, Inc., a Delaware company (“Pacific”) and Asset Alliance Holding Corp., a Delaware Company. The equity interests of Pacific are owned by Messrs. Roger Richter, Jonathan M. Glaser and Daniel A. David and Messrs. Glaser and Richter have sole investment discretion over the Fund’s portfolio holdings.</w:t>
      </w:r>
    </w:p>
    <w:p>
      <w:pPr>
        <w:spacing w:after="0" w:line="181" w:lineRule="exact"/>
        <w:rPr>
          <w:rFonts w:ascii="Arial" w:cs="Arial" w:eastAsia="Arial" w:hAnsi="Arial"/>
          <w:sz w:val="17"/>
          <w:szCs w:val="17"/>
          <w:color w:val="auto"/>
        </w:rPr>
      </w:pPr>
    </w:p>
    <w:p>
      <w:pPr>
        <w:ind w:left="620" w:right="480" w:hanging="609"/>
        <w:spacing w:after="0" w:line="339" w:lineRule="auto"/>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Includes 328,948 shares of common stock and 82,237 shares issuable upon exercise of common stock purchase warrants. Pursuant to an investment management agreement, Avi Vigder has voting and dispositive control over these securities. Avi Vigder disclaims beneficial ownership of said securities.</w:t>
      </w:r>
    </w:p>
    <w:p>
      <w:pPr>
        <w:spacing w:after="0" w:line="119" w:lineRule="exact"/>
        <w:rPr>
          <w:rFonts w:ascii="Arial" w:cs="Arial" w:eastAsia="Arial" w:hAnsi="Arial"/>
          <w:sz w:val="15"/>
          <w:szCs w:val="15"/>
          <w:color w:val="auto"/>
        </w:rPr>
      </w:pPr>
    </w:p>
    <w:p>
      <w:pPr>
        <w:ind w:left="620" w:right="60" w:hanging="609"/>
        <w:spacing w:after="0" w:line="266"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197,368 shares of common stock and 49,342 shares issuable upon exercise of common stock purchase warrants. Omicron Capital, L.P., a Delaware limited partnership (“Omicron Capital”), serves as investment manager to Omicron Master Trust, a trust formed under the laws of Bermuda (“Omicron”), Omicron Capital, Inc., a Delaware corporation (“OCI”) serves as general partner of Omicron Capital, and Winchester Global Trust Limited (“Winchester”) serves as the trustee of Omicron. By reason of such relationships, Omicron Capital and OCI may be deemed to share dispositive power over the shares of our common stock owned by Omicron, and Winchester may be deemed to share voting and dispositive power over the shares of our common stock owned by Omicron. Omicron Capital, OCI and Winchester disclaim beneficial ownership of such shares of our common stock. Omicron Capital has delegated authority from the board of directors of Winchester regarding the portfolio management decisions with respect to the shares of common stock owned by Omicron and, as of June 30, 2004, Mr. Olivier H. Morali and Mr. Bruce T. Bernstein, officers of OCI, have delegated authority from the board of directors of OCI regarding the portfolio management decisions of Omicron Capital with respect to the shares of common stock owned by Omicron. By reason of delegated authority, Messrs. Morali and Bernstein may be deemed to share dispositive power over the shares of our common stock owned by Omicron. Messrs. Morali and Bernstein disclaim beneficial ownership of such shares of our common stock and neither of such persons has any legal right to maintain such delegated authority. No other person has sole or shared voting or dispositive power with respect to the shares of our common stock being offered by Omicron, as those terms are used for purposes under Regulation 13D-G of the Securities Exchange Act of 1934, as amended. Omicron and Winchester are not “affiliates” of one another, as that term is used for purposes of the Securities Exchange Act of 1934, as amended, or of any other person named in this prospectus as selling stockholder. No person or “group” (as that term is used in Section 13(d) of the Securities Exchange Act of 1934, as amended, or the SEC’s Regulation 13D-G) controls Omicron and Winchester.</w:t>
      </w:r>
    </w:p>
    <w:p>
      <w:pPr>
        <w:spacing w:after="0" w:line="175" w:lineRule="exact"/>
        <w:rPr>
          <w:rFonts w:ascii="Arial" w:cs="Arial" w:eastAsia="Arial" w:hAnsi="Arial"/>
          <w:sz w:val="16"/>
          <w:szCs w:val="16"/>
          <w:color w:val="auto"/>
        </w:rPr>
      </w:pPr>
    </w:p>
    <w:p>
      <w:pPr>
        <w:ind w:left="620" w:hanging="609"/>
        <w:spacing w:after="0" w:line="289" w:lineRule="auto"/>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Includes 164,472 shares of common stock and 41,118 shares issuable upon exercise of common stock purchase warrants. The investment advisor to Portside Growth and Opportunity Fund is Ramius Capital Group, LLC (“Ramius Capital”). Ramius Securities, LLC, an NASD member, is an affiliate of Ramius Capital. However, Ramius Securities, LLC will not sell any shares purchased in this offering by Portside Growth and Opportunity Fund (“Portside”) and will receive no compensation whatsoever in connection with sales of shares purchased in this transaction. Ramius Capital is the investment adviser of Portside and consequently has voting control and investment discretion over securities held by Portside. Ramius Capital disclaims beneficial ownership of the shares held by Portside. Peter A. Cohen, Morgan B. Stark, Thomas W. Strauss and Jeffrey M. Solomon are the sole managing members of C4S &amp; Co., LLC, the sole managing member of Ramius Capital. As a result, Messrs. Cohen, Stark, Strauss and Solomon may be considered beneficial owners of any shares deemed to be beneficially owned by Ramius Capital. Messrs. Cohen, Stark, Strauss and Solomon disclaim beneficial ownership of these shares.</w:t>
      </w:r>
    </w:p>
    <w:p>
      <w:pPr>
        <w:spacing w:after="0" w:line="158" w:lineRule="exact"/>
        <w:rPr>
          <w:rFonts w:ascii="Arial" w:cs="Arial" w:eastAsia="Arial" w:hAnsi="Arial"/>
          <w:sz w:val="15"/>
          <w:szCs w:val="15"/>
          <w:color w:val="auto"/>
        </w:rPr>
      </w:pPr>
    </w:p>
    <w:p>
      <w:pPr>
        <w:ind w:left="620" w:hanging="609"/>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328,948 shares of common stock and 82,237 shares issuable upon exercise of common stock purchase warrants.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5995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620" w:hanging="609"/>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65,788 shares of common stock and 16,447 shares issuable upon exercise of common stock purchase warrants.</w:t>
      </w:r>
    </w:p>
    <w:p>
      <w:pPr>
        <w:spacing w:after="0" w:line="208" w:lineRule="exact"/>
        <w:rPr>
          <w:rFonts w:ascii="Arial" w:cs="Arial" w:eastAsia="Arial" w:hAnsi="Arial"/>
          <w:sz w:val="17"/>
          <w:szCs w:val="17"/>
          <w:color w:val="auto"/>
        </w:rPr>
      </w:pPr>
    </w:p>
    <w:p>
      <w:pPr>
        <w:ind w:left="620" w:right="40" w:hanging="609"/>
        <w:spacing w:after="0" w:line="292" w:lineRule="auto"/>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789,472 shares of common stock and 197,368 shares issuable upon exercise of common stock purchase warrants. The selling stockholder is or may be an affiliate of a registered broker-dealer. We have been informed by each selling stockholder that such selling stockholder acquired the securities offered by this prospectus for its own account in the ordinary course of business, and that, at the time it acquired the securities, it had no agreement or understanding, direct or indirect, with any person to distribute such securities. Michael A. Roth and Brian J. Stark are the founding members and direct the management of Staro Asset Management, L.L.C., a Wisconsin limited liability company (“Staro”), which acts as investment manager and has sole power to direct the management of SF Capital Partners Ltd. Through Staro, Messrs. Roth and Stark possess sole voting and dispositive power over all of the shares owned by SF Capital Partners Ltd.</w:t>
      </w:r>
    </w:p>
    <w:p>
      <w:pPr>
        <w:spacing w:after="0" w:line="156" w:lineRule="exact"/>
        <w:rPr>
          <w:rFonts w:ascii="Arial" w:cs="Arial" w:eastAsia="Arial" w:hAnsi="Arial"/>
          <w:sz w:val="15"/>
          <w:szCs w:val="15"/>
          <w:color w:val="auto"/>
        </w:rPr>
      </w:pPr>
    </w:p>
    <w:p>
      <w:pPr>
        <w:ind w:left="620" w:right="40" w:hanging="609"/>
        <w:spacing w:after="0" w:line="292" w:lineRule="auto"/>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493,424 shares of common stock and 123,356 shares issuable upon exercise of common stock purchase warrants. The selling stockholder is or may be an affiliate of a registered broker-dealer. We have been informed by each selling stockholder that such selling stockholder acquired the securities offered by this prospectus for its own account in the ordinary course of business, and that, at the time it acquired the securities, it had no agreement or understanding, direct or indirect, with any person to distribute such securities. Highbridge Capital Management, LLC is the trading manager of Smithfield Fiduciary LLC and consequently has voting control and investment discretion over securities held by Smithfield. Glenn Dubin and Henry Swieca control Highbridge. Each of Highbridge, Glenn Dubin and Henry Swieca disclaims beneficial ownership of the securities held by Smithfield.</w:t>
      </w:r>
    </w:p>
    <w:p>
      <w:pPr>
        <w:spacing w:after="0" w:line="156" w:lineRule="exact"/>
        <w:rPr>
          <w:rFonts w:ascii="Arial" w:cs="Arial" w:eastAsia="Arial" w:hAnsi="Arial"/>
          <w:sz w:val="15"/>
          <w:szCs w:val="15"/>
          <w:color w:val="auto"/>
        </w:rPr>
      </w:pPr>
    </w:p>
    <w:p>
      <w:pPr>
        <w:ind w:left="620" w:right="480" w:hanging="609"/>
        <w:spacing w:after="0" w:line="271"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20,000 shares of common stock and 5,000 shares issuable upon exercise of common stock purchase warrants. Evelyn Todd exercises voting and investment control over these securities.</w:t>
      </w:r>
    </w:p>
    <w:p>
      <w:pPr>
        <w:spacing w:after="0" w:line="165" w:lineRule="exact"/>
        <w:rPr>
          <w:rFonts w:ascii="Arial" w:cs="Arial" w:eastAsia="Arial" w:hAnsi="Arial"/>
          <w:sz w:val="17"/>
          <w:szCs w:val="17"/>
          <w:color w:val="auto"/>
        </w:rPr>
      </w:pPr>
    </w:p>
    <w:p>
      <w:pPr>
        <w:ind w:left="620" w:right="40" w:hanging="609"/>
        <w:spacing w:after="0" w:line="300" w:lineRule="auto"/>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330,000 shares of common stock and 82,500 shares issuable upon exercise of common stock purchase warrants. The selling stockholder is or may be an affiliate of a registered broker-dealer. We have been informed by each selling stockholder that such selling stockholder acquired the securities offered by this prospectus for its own account in the ordinary course of business, and that, at the time it acquired the securities, it had no agreement or understanding, direct or indirect, with any person to distribute such securities. Edwin Mecabe and Tai May Lee jointly exercise voting and investment control over these securities.</w:t>
      </w:r>
    </w:p>
    <w:p>
      <w:pPr>
        <w:spacing w:after="0" w:line="148" w:lineRule="exact"/>
        <w:rPr>
          <w:rFonts w:ascii="Arial" w:cs="Arial" w:eastAsia="Arial" w:hAnsi="Arial"/>
          <w:sz w:val="15"/>
          <w:szCs w:val="15"/>
          <w:color w:val="auto"/>
        </w:rPr>
      </w:pPr>
    </w:p>
    <w:p>
      <w:pPr>
        <w:ind w:left="620" w:hanging="609"/>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65,788 shares of common stock and 16,447 shares issuable upon exercise of common stock purchase warrants.</w:t>
      </w:r>
    </w:p>
    <w:p>
      <w:pPr>
        <w:spacing w:after="0" w:line="208" w:lineRule="exact"/>
        <w:rPr>
          <w:rFonts w:ascii="Arial" w:cs="Arial" w:eastAsia="Arial" w:hAnsi="Arial"/>
          <w:sz w:val="17"/>
          <w:szCs w:val="17"/>
          <w:color w:val="auto"/>
        </w:rPr>
      </w:pPr>
    </w:p>
    <w:p>
      <w:pPr>
        <w:ind w:left="620" w:right="520" w:hanging="609"/>
        <w:spacing w:after="0" w:line="271"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296,052 shares of common stock and 74,013 shares issuable upon exercise of common stock purchase warrants. Michael Finkelstein and Libby Leonard exercise voting and investment control over these securities.</w:t>
      </w:r>
    </w:p>
    <w:p>
      <w:pPr>
        <w:spacing w:after="0" w:line="165" w:lineRule="exact"/>
        <w:rPr>
          <w:rFonts w:ascii="Arial" w:cs="Arial" w:eastAsia="Arial" w:hAnsi="Arial"/>
          <w:sz w:val="17"/>
          <w:szCs w:val="17"/>
          <w:color w:val="auto"/>
        </w:rPr>
      </w:pPr>
    </w:p>
    <w:p>
      <w:pPr>
        <w:ind w:left="620" w:right="80" w:hanging="609"/>
        <w:spacing w:after="0" w:line="271"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164,472 shares of common stock and 41,118 shares issuable upon exercise of common stock purchase warrants. Steven Slawson and Walter Schenker exercise voting and investment control over these securities.</w:t>
      </w:r>
    </w:p>
    <w:p>
      <w:pPr>
        <w:spacing w:after="0" w:line="165" w:lineRule="exact"/>
        <w:rPr>
          <w:rFonts w:ascii="Arial" w:cs="Arial" w:eastAsia="Arial" w:hAnsi="Arial"/>
          <w:sz w:val="17"/>
          <w:szCs w:val="17"/>
          <w:color w:val="auto"/>
        </w:rPr>
      </w:pPr>
    </w:p>
    <w:p>
      <w:pPr>
        <w:ind w:left="620" w:right="140" w:hanging="609"/>
        <w:spacing w:after="0" w:line="283"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13,816 shares of common stock and 3,454 shares issuable upon exercise of common stock purchase warrants. Michael E. Fein and Stephen E. Saltzstein, as principals of Atoll Asset Management, LLC, the Managing Member of Truk International Fund, LP, exercise investment and voting control over these securities. Both Mr. Fein and Mr. Saltzstein disclaim beneficial ownership of the common stock owned by this selling stockholder.</w:t>
      </w:r>
    </w:p>
    <w:p>
      <w:pPr>
        <w:spacing w:after="0" w:line="158" w:lineRule="exact"/>
        <w:rPr>
          <w:rFonts w:ascii="Arial" w:cs="Arial" w:eastAsia="Arial" w:hAnsi="Arial"/>
          <w:sz w:val="16"/>
          <w:szCs w:val="16"/>
          <w:color w:val="auto"/>
        </w:rPr>
      </w:pPr>
    </w:p>
    <w:p>
      <w:pPr>
        <w:ind w:left="620" w:right="40" w:hanging="609"/>
        <w:spacing w:after="0" w:line="310" w:lineRule="auto"/>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183,552 shares of common stock and 45,888 shares issuable upon exercise of common stock purchase warrants. Michael E. Fein and Stephen E. Saltzstein, as principals of Atoll Asset Management, LLC, the Managing Member of Truk Opportunity Fund, LLC, exercise investment and voting control over these securities. Both Mr. Fein and Mr. Saltzstein disclaim beneficial ownership of the common stock owned by this selling stockholder.</w:t>
      </w:r>
    </w:p>
    <w:p>
      <w:pPr>
        <w:spacing w:after="0" w:line="140" w:lineRule="exact"/>
        <w:rPr>
          <w:rFonts w:ascii="Arial" w:cs="Arial" w:eastAsia="Arial" w:hAnsi="Arial"/>
          <w:sz w:val="15"/>
          <w:szCs w:val="15"/>
          <w:color w:val="auto"/>
        </w:rPr>
      </w:pPr>
    </w:p>
    <w:p>
      <w:pPr>
        <w:ind w:left="620" w:hanging="609"/>
        <w:spacing w:after="0" w:line="339" w:lineRule="auto"/>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100,000 shares of common stock and 25,000 shares issuable upon exercise of common stock purchase warrants. O’Connor PIPES Corporate Strategies Master Ltd. Is a fund managed by UBS O’Connor LLC, a wholly owned subsidiary of UBS AG, which is traded on the New York Stock Exchange.</w:t>
      </w:r>
    </w:p>
    <w:p>
      <w:pPr>
        <w:spacing w:after="0" w:line="119" w:lineRule="exact"/>
        <w:rPr>
          <w:rFonts w:ascii="Arial" w:cs="Arial" w:eastAsia="Arial" w:hAnsi="Arial"/>
          <w:sz w:val="15"/>
          <w:szCs w:val="15"/>
          <w:color w:val="auto"/>
        </w:rPr>
      </w:pPr>
    </w:p>
    <w:p>
      <w:pPr>
        <w:ind w:left="620" w:right="40" w:hanging="609"/>
        <w:spacing w:after="0" w:line="271"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32,896 shares of common stock and 8,224 shares issuable upon exercise of common stock purchase warrants. Richard Han and Shad Stastney exercise voting and investment control over these securities.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5995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620" w:right="460" w:hanging="609"/>
        <w:spacing w:after="0" w:line="271" w:lineRule="auto"/>
        <w:tabs>
          <w:tab w:leader="none" w:pos="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Includes 131,580 shares of common stock and 32,895 shares issuable upon exercise of common stock purchase warrants. Richard Han and Shad Stastney exercise voting and investment control over these securities.</w:t>
      </w:r>
    </w:p>
    <w:p>
      <w:pPr>
        <w:spacing w:after="0" w:line="165" w:lineRule="exact"/>
        <w:rPr>
          <w:rFonts w:ascii="Arial" w:cs="Arial" w:eastAsia="Arial" w:hAnsi="Arial"/>
          <w:sz w:val="17"/>
          <w:szCs w:val="17"/>
          <w:color w:val="auto"/>
        </w:rPr>
      </w:pPr>
    </w:p>
    <w:p>
      <w:pPr>
        <w:ind w:left="620" w:right="120" w:hanging="609"/>
        <w:spacing w:after="0" w:line="271" w:lineRule="auto"/>
        <w:tabs>
          <w:tab w:leader="none" w:pos="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Includes 98,684 shares of common stock and 24,671 shares issuable upon exercise of common stock purchase warrants. Evan Schemenauer, Authur Jones and Jennifer Kelly exercise voting and investment control over these securities.</w:t>
      </w:r>
    </w:p>
    <w:p>
      <w:pPr>
        <w:spacing w:after="0" w:line="165" w:lineRule="exact"/>
        <w:rPr>
          <w:rFonts w:ascii="Arial" w:cs="Arial" w:eastAsia="Arial" w:hAnsi="Arial"/>
          <w:sz w:val="17"/>
          <w:szCs w:val="17"/>
          <w:color w:val="auto"/>
        </w:rPr>
      </w:pPr>
    </w:p>
    <w:p>
      <w:pPr>
        <w:ind w:left="620" w:right="20" w:hanging="609"/>
        <w:spacing w:after="0" w:line="255" w:lineRule="auto"/>
        <w:tabs>
          <w:tab w:leader="none" w:pos="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Includes 526,400 shares issuable upon exercise of common stock purchase warrants. The selling stockholder is or may be an affiliate of a registered broker-dealer. We have been informed by each selling stockholder that such selling stockholder acquired the securities offered by this prospectus for its own account in the ordinary course of business, and that, at the time it acquired the securities, it had no agreement or understanding, direct or indirect, with any person to distribute such securities.</w:t>
      </w:r>
    </w:p>
    <w:p>
      <w:pPr>
        <w:spacing w:after="0" w:line="180" w:lineRule="exact"/>
        <w:rPr>
          <w:rFonts w:ascii="Arial" w:cs="Arial" w:eastAsia="Arial" w:hAnsi="Arial"/>
          <w:sz w:val="17"/>
          <w:szCs w:val="17"/>
          <w:color w:val="auto"/>
        </w:rPr>
      </w:pPr>
    </w:p>
    <w:p>
      <w:pPr>
        <w:ind w:left="620" w:hanging="619"/>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Less than one percent.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PLAN OF DISTRIBUTION</w:t>
      </w:r>
    </w:p>
    <w:p>
      <w:pPr>
        <w:spacing w:after="0" w:line="175" w:lineRule="exact"/>
        <w:rPr>
          <w:sz w:val="20"/>
          <w:szCs w:val="20"/>
          <w:color w:val="auto"/>
        </w:rPr>
      </w:pPr>
    </w:p>
    <w:p>
      <w:pPr>
        <w:ind w:right="160" w:firstLine="207"/>
        <w:spacing w:after="0" w:line="259" w:lineRule="auto"/>
        <w:rPr>
          <w:sz w:val="20"/>
          <w:szCs w:val="20"/>
          <w:color w:val="auto"/>
        </w:rPr>
      </w:pPr>
      <w:r>
        <w:rPr>
          <w:rFonts w:ascii="Arial" w:cs="Arial" w:eastAsia="Arial" w:hAnsi="Arial"/>
          <w:sz w:val="17"/>
          <w:szCs w:val="17"/>
          <w:color w:val="auto"/>
        </w:rPr>
        <w:t>The selling stockholders and any of their assignees, donees and successors-in-interest may, from time to time, sell any or all of their shares of common stock on any stock exchange, market or trading facility on which the shares are traded or in private transactions. These sales may be at fixed or negotiated prices. The selling stockholders may use any one or more of the following methods when selling shares:</w:t>
      </w:r>
    </w:p>
    <w:p>
      <w:pPr>
        <w:spacing w:after="0" w:line="176" w:lineRule="exact"/>
        <w:rPr>
          <w:sz w:val="20"/>
          <w:szCs w:val="20"/>
          <w:color w:val="auto"/>
        </w:rPr>
      </w:pPr>
    </w:p>
    <w:p>
      <w:pPr>
        <w:ind w:left="560" w:hanging="163"/>
        <w:spacing w:after="0"/>
        <w:tabs>
          <w:tab w:leader="none" w:pos="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ordinary brokerage transactions and transactions in which the broker-dealer solicits purchasers;</w:t>
      </w:r>
    </w:p>
    <w:p>
      <w:pPr>
        <w:spacing w:after="0" w:line="208" w:lineRule="exact"/>
        <w:rPr>
          <w:rFonts w:ascii="Arial" w:cs="Arial" w:eastAsia="Arial" w:hAnsi="Arial"/>
          <w:sz w:val="17"/>
          <w:szCs w:val="17"/>
          <w:color w:val="auto"/>
        </w:rPr>
      </w:pPr>
    </w:p>
    <w:p>
      <w:pPr>
        <w:ind w:left="560" w:right="380" w:hanging="163"/>
        <w:spacing w:after="0" w:line="271" w:lineRule="auto"/>
        <w:tabs>
          <w:tab w:leader="none" w:pos="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block trades in which the broker-dealer will attempt to sell the shares as agent but may position and resell a portion of the block as principal to facilitate the transaction;</w:t>
      </w:r>
    </w:p>
    <w:p>
      <w:pPr>
        <w:spacing w:after="0" w:line="165" w:lineRule="exact"/>
        <w:rPr>
          <w:rFonts w:ascii="Arial" w:cs="Arial" w:eastAsia="Arial" w:hAnsi="Arial"/>
          <w:sz w:val="17"/>
          <w:szCs w:val="17"/>
          <w:color w:val="auto"/>
        </w:rPr>
      </w:pPr>
    </w:p>
    <w:p>
      <w:pPr>
        <w:ind w:left="560" w:hanging="163"/>
        <w:spacing w:after="0"/>
        <w:tabs>
          <w:tab w:leader="none" w:pos="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purchases by a broker-dealer as principal and resale by the broker-dealer for its account;</w:t>
      </w:r>
    </w:p>
    <w:p>
      <w:pPr>
        <w:spacing w:after="0" w:line="208" w:lineRule="exact"/>
        <w:rPr>
          <w:rFonts w:ascii="Arial" w:cs="Arial" w:eastAsia="Arial" w:hAnsi="Arial"/>
          <w:sz w:val="17"/>
          <w:szCs w:val="17"/>
          <w:color w:val="auto"/>
        </w:rPr>
      </w:pPr>
    </w:p>
    <w:p>
      <w:pPr>
        <w:ind w:left="560" w:hanging="163"/>
        <w:spacing w:after="0"/>
        <w:tabs>
          <w:tab w:leader="none" w:pos="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exchange distribution in accordance with the rules of the applicable exchange;</w:t>
      </w:r>
    </w:p>
    <w:p>
      <w:pPr>
        <w:spacing w:after="0" w:line="208" w:lineRule="exact"/>
        <w:rPr>
          <w:rFonts w:ascii="Arial" w:cs="Arial" w:eastAsia="Arial" w:hAnsi="Arial"/>
          <w:sz w:val="17"/>
          <w:szCs w:val="17"/>
          <w:color w:val="auto"/>
        </w:rPr>
      </w:pPr>
    </w:p>
    <w:p>
      <w:pPr>
        <w:ind w:left="560" w:hanging="163"/>
        <w:spacing w:after="0"/>
        <w:tabs>
          <w:tab w:leader="none" w:pos="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privately negotiated transactions;</w:t>
      </w:r>
    </w:p>
    <w:p>
      <w:pPr>
        <w:spacing w:after="0" w:line="208" w:lineRule="exact"/>
        <w:rPr>
          <w:rFonts w:ascii="Arial" w:cs="Arial" w:eastAsia="Arial" w:hAnsi="Arial"/>
          <w:sz w:val="17"/>
          <w:szCs w:val="17"/>
          <w:color w:val="auto"/>
        </w:rPr>
      </w:pPr>
    </w:p>
    <w:p>
      <w:pPr>
        <w:ind w:left="560" w:hanging="163"/>
        <w:spacing w:after="0"/>
        <w:tabs>
          <w:tab w:leader="none" w:pos="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settlement of short sales created after the date of this prospectus;</w:t>
      </w:r>
    </w:p>
    <w:p>
      <w:pPr>
        <w:spacing w:after="0" w:line="208" w:lineRule="exact"/>
        <w:rPr>
          <w:rFonts w:ascii="Arial" w:cs="Arial" w:eastAsia="Arial" w:hAnsi="Arial"/>
          <w:sz w:val="17"/>
          <w:szCs w:val="17"/>
          <w:color w:val="auto"/>
        </w:rPr>
      </w:pPr>
    </w:p>
    <w:p>
      <w:pPr>
        <w:ind w:left="560" w:hanging="163"/>
        <w:spacing w:after="0"/>
        <w:tabs>
          <w:tab w:leader="none" w:pos="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broker-dealers may agree with the selling stockholders to sell a specified number of such shares at a stipulated price per share;</w:t>
      </w:r>
    </w:p>
    <w:p>
      <w:pPr>
        <w:spacing w:after="0" w:line="208" w:lineRule="exact"/>
        <w:rPr>
          <w:rFonts w:ascii="Arial" w:cs="Arial" w:eastAsia="Arial" w:hAnsi="Arial"/>
          <w:sz w:val="17"/>
          <w:szCs w:val="17"/>
          <w:color w:val="auto"/>
        </w:rPr>
      </w:pPr>
    </w:p>
    <w:p>
      <w:pPr>
        <w:ind w:left="560" w:hanging="163"/>
        <w:spacing w:after="0"/>
        <w:tabs>
          <w:tab w:leader="none" w:pos="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combination of any such methods of sale; and</w:t>
      </w:r>
    </w:p>
    <w:p>
      <w:pPr>
        <w:spacing w:after="0" w:line="208" w:lineRule="exact"/>
        <w:rPr>
          <w:rFonts w:ascii="Arial" w:cs="Arial" w:eastAsia="Arial" w:hAnsi="Arial"/>
          <w:sz w:val="17"/>
          <w:szCs w:val="17"/>
          <w:color w:val="auto"/>
        </w:rPr>
      </w:pPr>
    </w:p>
    <w:p>
      <w:pPr>
        <w:ind w:left="560" w:hanging="163"/>
        <w:spacing w:after="0"/>
        <w:tabs>
          <w:tab w:leader="none" w:pos="5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other method permitted pursuant to applicable law.</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selling stockholders may also sell shares under Rule 144 under the Securities Act, if available, rather than under this prospectus.</w:t>
      </w:r>
    </w:p>
    <w:p>
      <w:pPr>
        <w:spacing w:after="0" w:line="171" w:lineRule="exact"/>
        <w:rPr>
          <w:sz w:val="20"/>
          <w:szCs w:val="20"/>
          <w:color w:val="auto"/>
        </w:rPr>
      </w:pPr>
    </w:p>
    <w:p>
      <w:pPr>
        <w:jc w:val="both"/>
        <w:ind w:firstLine="210"/>
        <w:spacing w:after="0" w:line="283" w:lineRule="auto"/>
        <w:rPr>
          <w:sz w:val="20"/>
          <w:szCs w:val="20"/>
          <w:color w:val="auto"/>
        </w:rPr>
      </w:pPr>
      <w:r>
        <w:rPr>
          <w:rFonts w:ascii="Arial" w:cs="Arial" w:eastAsia="Arial" w:hAnsi="Arial"/>
          <w:sz w:val="16"/>
          <w:szCs w:val="16"/>
          <w:color w:val="auto"/>
        </w:rPr>
        <w:t>Broker-dealers engaged by the selling stockholders may arrange for other brokers dealers to participate in sales. Broker-dealers may receive commissions or discounts from the selling stockholders (or, if any broker-dealer acts as agent for the purchaser of shares, from the purchaser) in amounts to be negotiated. The selling stockholders do not expect these commissions and discounts to exceed what is customary in the types of transactions involved.</w:t>
      </w:r>
    </w:p>
    <w:p>
      <w:pPr>
        <w:spacing w:after="0" w:line="133" w:lineRule="exact"/>
        <w:rPr>
          <w:sz w:val="20"/>
          <w:szCs w:val="20"/>
          <w:color w:val="auto"/>
        </w:rPr>
      </w:pPr>
    </w:p>
    <w:p>
      <w:pPr>
        <w:ind w:right="60" w:firstLine="207"/>
        <w:spacing w:after="0" w:line="276" w:lineRule="auto"/>
        <w:rPr>
          <w:sz w:val="20"/>
          <w:szCs w:val="20"/>
          <w:color w:val="auto"/>
        </w:rPr>
      </w:pPr>
      <w:r>
        <w:rPr>
          <w:rFonts w:ascii="Arial" w:cs="Arial" w:eastAsia="Arial" w:hAnsi="Arial"/>
          <w:sz w:val="16"/>
          <w:szCs w:val="16"/>
          <w:color w:val="auto"/>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Each selling stockholder has informed us that it does not have any agreement or understanding, directly or indirectly, with any person to distribute the common stock.</w:t>
      </w:r>
    </w:p>
    <w:p>
      <w:pPr>
        <w:spacing w:after="0" w:line="127" w:lineRule="exact"/>
        <w:rPr>
          <w:sz w:val="20"/>
          <w:szCs w:val="20"/>
          <w:color w:val="auto"/>
        </w:rPr>
      </w:pPr>
    </w:p>
    <w:p>
      <w:pPr>
        <w:ind w:right="280" w:firstLine="207"/>
        <w:spacing w:after="0" w:line="271" w:lineRule="auto"/>
        <w:rPr>
          <w:sz w:val="20"/>
          <w:szCs w:val="20"/>
          <w:color w:val="auto"/>
        </w:rPr>
      </w:pPr>
      <w:r>
        <w:rPr>
          <w:rFonts w:ascii="Arial" w:cs="Arial" w:eastAsia="Arial" w:hAnsi="Arial"/>
          <w:sz w:val="17"/>
          <w:szCs w:val="17"/>
          <w:color w:val="auto"/>
        </w:rPr>
        <w:t>We are required to pay all of our fees and expenses incident to the registration of the shares. We have agreed with the selling stockholders to indemnify each other against certain losses, claims, damages and liabilities, including liabilities under the Securities Act.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5995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188" w:lineRule="exact"/>
        <w:rPr>
          <w:sz w:val="20"/>
          <w:szCs w:val="20"/>
          <w:color w:val="auto"/>
        </w:rPr>
      </w:pPr>
    </w:p>
    <w:p>
      <w:pPr>
        <w:ind w:right="120" w:firstLine="207"/>
        <w:spacing w:after="0" w:line="271" w:lineRule="auto"/>
        <w:rPr>
          <w:sz w:val="20"/>
          <w:szCs w:val="20"/>
          <w:color w:val="auto"/>
        </w:rPr>
      </w:pPr>
      <w:r>
        <w:rPr>
          <w:rFonts w:ascii="Arial" w:cs="Arial" w:eastAsia="Arial" w:hAnsi="Arial"/>
          <w:sz w:val="17"/>
          <w:szCs w:val="17"/>
          <w:color w:val="auto"/>
        </w:rPr>
        <w:t>We file annual, quarterly and special reports, proxy statements and other information with the SEC. Our SEC filings are available over the Internet at the SEC’s web site at http://www.sec.gov. You may also read and copy any document we file with the SEC at its public reference facility: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Public Reference Room</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450 Fifth Street, N.W.</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Room 1024</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159" w:lineRule="exact"/>
        <w:rPr>
          <w:sz w:val="20"/>
          <w:szCs w:val="20"/>
          <w:color w:val="auto"/>
        </w:rPr>
      </w:pPr>
    </w:p>
    <w:p>
      <w:pPr>
        <w:ind w:right="700" w:firstLine="204"/>
        <w:spacing w:after="0" w:line="339" w:lineRule="auto"/>
        <w:rPr>
          <w:sz w:val="20"/>
          <w:szCs w:val="20"/>
          <w:color w:val="auto"/>
        </w:rPr>
      </w:pPr>
      <w:r>
        <w:rPr>
          <w:rFonts w:ascii="Arial" w:cs="Arial" w:eastAsia="Arial" w:hAnsi="Arial"/>
          <w:sz w:val="15"/>
          <w:szCs w:val="15"/>
          <w:color w:val="auto"/>
        </w:rPr>
        <w:t>You may also obtain copies of the documents at prescribed rates by writing to the Public Reference Section of the SEC, 450 Fifth Street, N.W., Room 1024, Washington, DC 20549. Please call 1-800-SEC-0330 for further information on the operations of the public reference facility and copying charges.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INCORPORATION OF CERTAIN DOCUMENTS BY REFERENCE</w:t>
      </w:r>
    </w:p>
    <w:p>
      <w:pPr>
        <w:spacing w:after="0" w:line="175" w:lineRule="exact"/>
        <w:rPr>
          <w:sz w:val="20"/>
          <w:szCs w:val="20"/>
          <w:color w:val="auto"/>
        </w:rPr>
      </w:pPr>
    </w:p>
    <w:p>
      <w:pPr>
        <w:ind w:right="80" w:firstLine="207"/>
        <w:spacing w:after="0" w:line="310" w:lineRule="auto"/>
        <w:rPr>
          <w:sz w:val="20"/>
          <w:szCs w:val="20"/>
          <w:color w:val="auto"/>
        </w:rPr>
      </w:pPr>
      <w:r>
        <w:rPr>
          <w:rFonts w:ascii="Arial" w:cs="Arial" w:eastAsia="Arial" w:hAnsi="Arial"/>
          <w:sz w:val="15"/>
          <w:szCs w:val="15"/>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the information that we file later with the SEC will automatically update and supersede this information. We incorporate by reference in this prospectus the following documents filed by us with the SEC:</w:t>
      </w:r>
    </w:p>
    <w:p>
      <w:pPr>
        <w:spacing w:after="0" w:line="141" w:lineRule="exact"/>
        <w:rPr>
          <w:sz w:val="20"/>
          <w:szCs w:val="20"/>
          <w:color w:val="auto"/>
        </w:rPr>
      </w:pPr>
    </w:p>
    <w:p>
      <w:pPr>
        <w:ind w:left="560" w:hanging="163"/>
        <w:spacing w:after="0"/>
        <w:tabs>
          <w:tab w:leader="none" w:pos="5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Annual Report on Form 10-K for the year ended December 31, 2003, including any amendment filed for the purpose of updating such Annual Report;</w:t>
      </w:r>
    </w:p>
    <w:p>
      <w:pPr>
        <w:spacing w:after="0" w:line="231" w:lineRule="exact"/>
        <w:rPr>
          <w:rFonts w:ascii="Arial" w:cs="Arial" w:eastAsia="Arial" w:hAnsi="Arial"/>
          <w:sz w:val="15"/>
          <w:szCs w:val="15"/>
          <w:color w:val="auto"/>
        </w:rPr>
      </w:pPr>
    </w:p>
    <w:p>
      <w:pPr>
        <w:ind w:left="560" w:hanging="163"/>
        <w:spacing w:after="0"/>
        <w:tabs>
          <w:tab w:leader="none" w:pos="5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Quarterly Report on Form 10-Q for the quarter ended March 31, 2004, including any amendment filed for the purpose of updating such Quarterly Report;</w:t>
      </w:r>
    </w:p>
    <w:p>
      <w:pPr>
        <w:spacing w:after="0" w:line="231" w:lineRule="exact"/>
        <w:rPr>
          <w:rFonts w:ascii="Arial" w:cs="Arial" w:eastAsia="Arial" w:hAnsi="Arial"/>
          <w:sz w:val="15"/>
          <w:szCs w:val="15"/>
          <w:color w:val="auto"/>
        </w:rPr>
      </w:pPr>
    </w:p>
    <w:p>
      <w:pPr>
        <w:ind w:left="560" w:hanging="163"/>
        <w:spacing w:after="0"/>
        <w:tabs>
          <w:tab w:leader="none" w:pos="5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Proxy Statement for Annual Meeting of Stockholders on Schedule 14A filed with the SEC on April 28, 2004;</w:t>
      </w:r>
    </w:p>
    <w:p>
      <w:pPr>
        <w:spacing w:after="0" w:line="208" w:lineRule="exact"/>
        <w:rPr>
          <w:rFonts w:ascii="Arial" w:cs="Arial" w:eastAsia="Arial" w:hAnsi="Arial"/>
          <w:sz w:val="17"/>
          <w:szCs w:val="17"/>
          <w:color w:val="auto"/>
        </w:rPr>
      </w:pPr>
    </w:p>
    <w:p>
      <w:pPr>
        <w:ind w:left="560" w:right="340" w:hanging="163"/>
        <w:spacing w:after="0" w:line="271" w:lineRule="auto"/>
        <w:tabs>
          <w:tab w:leader="none" w:pos="5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description of our common stock contained in our registration statements on Form 8-A (File No. 1-19871) filed under the Exchange Act, including any amendment or report filed for the purpose of updating such description; and</w:t>
      </w:r>
    </w:p>
    <w:p>
      <w:pPr>
        <w:spacing w:after="0" w:line="165" w:lineRule="exact"/>
        <w:rPr>
          <w:rFonts w:ascii="Arial" w:cs="Arial" w:eastAsia="Arial" w:hAnsi="Arial"/>
          <w:sz w:val="17"/>
          <w:szCs w:val="17"/>
          <w:color w:val="auto"/>
        </w:rPr>
      </w:pPr>
    </w:p>
    <w:p>
      <w:pPr>
        <w:ind w:left="560" w:hanging="163"/>
        <w:spacing w:after="0"/>
        <w:tabs>
          <w:tab w:leader="none" w:pos="5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Current Reports on Form 8-K filed with the SEC on April 14, 2004, May 4, 2004 and June 17, 2004.</w:t>
      </w:r>
    </w:p>
    <w:p>
      <w:pPr>
        <w:spacing w:after="0" w:line="209" w:lineRule="exact"/>
        <w:rPr>
          <w:sz w:val="20"/>
          <w:szCs w:val="20"/>
          <w:color w:val="auto"/>
        </w:rPr>
      </w:pPr>
    </w:p>
    <w:p>
      <w:pPr>
        <w:ind w:firstLine="201"/>
        <w:spacing w:after="0" w:line="254" w:lineRule="auto"/>
        <w:rPr>
          <w:sz w:val="20"/>
          <w:szCs w:val="20"/>
          <w:color w:val="auto"/>
        </w:rPr>
      </w:pPr>
      <w:r>
        <w:rPr>
          <w:rFonts w:ascii="Arial" w:cs="Arial" w:eastAsia="Arial" w:hAnsi="Arial"/>
          <w:sz w:val="17"/>
          <w:szCs w:val="17"/>
          <w:color w:val="auto"/>
        </w:rPr>
        <w:t>Any statement made in a document incorporated by reference or deemed incorporated herein by reference is deemed to be modified or superseded for purposes of this prospectus if a statement contained in this prospectus or in any other subsequently filed document which is also incorporated or deemed incorporated by reference herein modifies or supersedes that statement. Any such statement so modified or superseded shall not be deemed, except as so modified or superseded, to constitute a part of this prospectus. We also incorporate by reference all documents filed pursuant to Sections 13(a), 13(c), 14 or 15(d) of the Exchange Act after the date of this prospectus and prior to the termination of this offering.</w:t>
      </w:r>
    </w:p>
    <w:p>
      <w:pPr>
        <w:spacing w:after="0" w:line="141" w:lineRule="exact"/>
        <w:rPr>
          <w:sz w:val="20"/>
          <w:szCs w:val="20"/>
          <w:color w:val="auto"/>
        </w:rPr>
      </w:pPr>
    </w:p>
    <w:p>
      <w:pPr>
        <w:ind w:right="40" w:firstLine="210"/>
        <w:spacing w:after="0" w:line="283" w:lineRule="auto"/>
        <w:rPr>
          <w:sz w:val="20"/>
          <w:szCs w:val="20"/>
          <w:color w:val="auto"/>
        </w:rPr>
      </w:pPr>
      <w:r>
        <w:rPr>
          <w:rFonts w:ascii="Arial" w:cs="Arial" w:eastAsia="Arial" w:hAnsi="Arial"/>
          <w:sz w:val="16"/>
          <w:szCs w:val="16"/>
          <w:color w:val="auto"/>
        </w:rPr>
        <w:t>Statements made in this prospectus or in any document incorporated by reference in this prospectus as to the contents of any contract or other document referred to herein or therein are not necessarily complete, and in each instance reference is made to the copy of such contract or other document filed as an exhibit to the documents incorporated by reference, each such statement being qualified in all material respects by such reference.</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You may request a copy of these filings, at no cost, by writing or telephoning us at the following address: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StemCells,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3155 Porter Drive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Palo Alto, Ca 94304</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Attention: Investor Relations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(650) 475-3100</w:t>
      </w:r>
    </w:p>
    <w:p>
      <w:pPr>
        <w:spacing w:after="0" w:line="159" w:lineRule="exact"/>
        <w:rPr>
          <w:sz w:val="20"/>
          <w:szCs w:val="20"/>
          <w:color w:val="auto"/>
        </w:rPr>
      </w:pPr>
    </w:p>
    <w:p>
      <w:pPr>
        <w:ind w:right="420" w:firstLine="210"/>
        <w:spacing w:after="0" w:line="271" w:lineRule="auto"/>
        <w:rPr>
          <w:sz w:val="20"/>
          <w:szCs w:val="20"/>
          <w:color w:val="auto"/>
        </w:rPr>
      </w:pPr>
      <w:r>
        <w:rPr>
          <w:rFonts w:ascii="Arial" w:cs="Arial" w:eastAsia="Arial" w:hAnsi="Arial"/>
          <w:sz w:val="17"/>
          <w:szCs w:val="17"/>
          <w:color w:val="auto"/>
        </w:rPr>
        <w:t>Copies of these filings are also available, without charge, on our Internet website at www.stemcellsinc.com as soon as reasonably practicable after they are filed electronically with the SEC.</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5995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LEGAL OPINION</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 the purpose of this offering, Ropes &amp; Gray LLP, Boston, Massachusetts, is giving its opinion on the validity of the shares.</w:t>
      </w:r>
    </w:p>
    <w:p>
      <w:pPr>
        <w:spacing w:after="0" w:line="167" w:lineRule="exact"/>
        <w:rPr>
          <w:sz w:val="20"/>
          <w:szCs w:val="20"/>
          <w:color w:val="auto"/>
        </w:rPr>
      </w:pPr>
    </w:p>
    <w:p>
      <w:pPr>
        <w:ind w:left="5320"/>
        <w:spacing w:after="0"/>
        <w:rPr>
          <w:sz w:val="20"/>
          <w:szCs w:val="20"/>
          <w:color w:val="auto"/>
        </w:rPr>
      </w:pPr>
      <w:r>
        <w:rPr>
          <w:rFonts w:ascii="Arial" w:cs="Arial" w:eastAsia="Arial" w:hAnsi="Arial"/>
          <w:sz w:val="17"/>
          <w:szCs w:val="17"/>
          <w:b w:val="1"/>
          <w:bCs w:val="1"/>
          <w:color w:val="auto"/>
        </w:rPr>
        <w:t>EXPERTS</w:t>
      </w:r>
    </w:p>
    <w:p>
      <w:pPr>
        <w:spacing w:after="0" w:line="175" w:lineRule="exact"/>
        <w:rPr>
          <w:sz w:val="20"/>
          <w:szCs w:val="20"/>
          <w:color w:val="auto"/>
        </w:rPr>
      </w:pPr>
    </w:p>
    <w:p>
      <w:pPr>
        <w:ind w:firstLine="207"/>
        <w:spacing w:after="0" w:line="254" w:lineRule="auto"/>
        <w:rPr>
          <w:sz w:val="20"/>
          <w:szCs w:val="20"/>
          <w:color w:val="auto"/>
        </w:rPr>
      </w:pPr>
      <w:r>
        <w:rPr>
          <w:rFonts w:ascii="Arial" w:cs="Arial" w:eastAsia="Arial" w:hAnsi="Arial"/>
          <w:sz w:val="17"/>
          <w:szCs w:val="17"/>
          <w:color w:val="auto"/>
        </w:rPr>
        <w:t>The financial statements incorporated in this prospectus by reference from the Company’s Annual Report on Form 10-K for the year ended December 31, 2003 have been audited by Grant Thornton LLP, Independent Registered Public Accountants in the case of financial statements for 2003, and at December 31, 2002, and for each of the two years in the period ended December 31, 2002, by Ernst &amp; Young LLP, independent registered public accounting firm, each as stated in their respective reports, each of which is incorporated herein by reference and has been so incorporated in reliance upon such reports given upon their authority as experts in accounting and auditing.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5995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184" w:lineRule="exact"/>
        <w:rPr>
          <w:sz w:val="20"/>
          <w:szCs w:val="20"/>
          <w:color w:val="auto"/>
        </w:rPr>
      </w:pPr>
    </w:p>
    <w:p>
      <w:pPr>
        <w:ind w:right="3700" w:firstLine="3721"/>
        <w:spacing w:after="0" w:line="477" w:lineRule="auto"/>
        <w:rPr>
          <w:sz w:val="20"/>
          <w:szCs w:val="20"/>
          <w:color w:val="auto"/>
        </w:rPr>
      </w:pPr>
      <w:r>
        <w:rPr>
          <w:rFonts w:ascii="Arial" w:cs="Arial" w:eastAsia="Arial" w:hAnsi="Arial"/>
          <w:sz w:val="17"/>
          <w:szCs w:val="17"/>
          <w:b w:val="1"/>
          <w:bCs w:val="1"/>
          <w:color w:val="auto"/>
        </w:rPr>
        <w:t>INFORMATION NOT REQUIRED IN PROSPECTUS ITEM 14. OTHER EXPENSES OF DISTRIBUTION</w:t>
      </w:r>
    </w:p>
    <w:p>
      <w:pPr>
        <w:spacing w:after="0" w:line="175" w:lineRule="exact"/>
        <w:rPr>
          <w:sz w:val="20"/>
          <w:szCs w:val="20"/>
          <w:color w:val="auto"/>
        </w:rPr>
      </w:pPr>
    </w:p>
    <w:tbl>
      <w:tblPr>
        <w:tblLayout w:type="fixed"/>
        <w:tblInd w:w="2580" w:type="dxa"/>
        <w:tblCellMar>
          <w:top w:w="0" w:type="dxa"/>
          <w:left w:w="0" w:type="dxa"/>
          <w:bottom w:w="0" w:type="dxa"/>
          <w:right w:w="0" w:type="dxa"/>
        </w:tblCellMar>
      </w:tblPr>
      <w:tr>
        <w:trPr>
          <w:trHeight w:val="202"/>
        </w:trPr>
        <w:tc>
          <w:tcPr>
            <w:tcW w:w="3460" w:type="dxa"/>
            <w:vAlign w:val="bottom"/>
            <w:shd w:val="clear" w:color="auto" w:fill="EEEEEE"/>
          </w:tcPr>
          <w:p>
            <w:pPr>
              <w:spacing w:after="0"/>
              <w:rPr>
                <w:sz w:val="20"/>
                <w:szCs w:val="20"/>
                <w:color w:val="auto"/>
              </w:rPr>
            </w:pPr>
            <w:r>
              <w:rPr>
                <w:rFonts w:ascii="Arial" w:cs="Arial" w:eastAsia="Arial" w:hAnsi="Arial"/>
                <w:sz w:val="17"/>
                <w:szCs w:val="17"/>
                <w:color w:val="auto"/>
              </w:rPr>
              <w:t>SEC registration fee</w:t>
            </w:r>
          </w:p>
        </w:tc>
        <w:tc>
          <w:tcPr>
            <w:tcW w:w="1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3,172.59</w:t>
            </w:r>
          </w:p>
        </w:tc>
        <w:tc>
          <w:tcPr>
            <w:tcW w:w="600" w:type="dxa"/>
            <w:vAlign w:val="bottom"/>
            <w:shd w:val="clear" w:color="auto" w:fill="EEEEEE"/>
          </w:tcPr>
          <w:p>
            <w:pPr>
              <w:spacing w:after="0"/>
              <w:rPr>
                <w:sz w:val="17"/>
                <w:szCs w:val="17"/>
                <w:color w:val="auto"/>
              </w:rPr>
            </w:pPr>
          </w:p>
        </w:tc>
      </w:tr>
      <w:tr>
        <w:trPr>
          <w:trHeight w:val="202"/>
        </w:trPr>
        <w:tc>
          <w:tcPr>
            <w:tcW w:w="3460" w:type="dxa"/>
            <w:vAlign w:val="bottom"/>
          </w:tcPr>
          <w:p>
            <w:pPr>
              <w:spacing w:after="0"/>
              <w:rPr>
                <w:sz w:val="20"/>
                <w:szCs w:val="20"/>
                <w:color w:val="auto"/>
              </w:rPr>
            </w:pPr>
            <w:r>
              <w:rPr>
                <w:rFonts w:ascii="Arial" w:cs="Arial" w:eastAsia="Arial" w:hAnsi="Arial"/>
                <w:sz w:val="17"/>
                <w:szCs w:val="17"/>
                <w:color w:val="auto"/>
              </w:rPr>
              <w:t>Blue sky fees and expenses*</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1,500</w:t>
            </w:r>
          </w:p>
        </w:tc>
        <w:tc>
          <w:tcPr>
            <w:tcW w:w="600" w:type="dxa"/>
            <w:vAlign w:val="bottom"/>
          </w:tcPr>
          <w:p>
            <w:pPr>
              <w:spacing w:after="0"/>
              <w:rPr>
                <w:sz w:val="17"/>
                <w:szCs w:val="17"/>
                <w:color w:val="auto"/>
              </w:rPr>
            </w:pPr>
          </w:p>
        </w:tc>
      </w:tr>
      <w:tr>
        <w:trPr>
          <w:trHeight w:val="202"/>
        </w:trPr>
        <w:tc>
          <w:tcPr>
            <w:tcW w:w="3460" w:type="dxa"/>
            <w:vAlign w:val="bottom"/>
            <w:shd w:val="clear" w:color="auto" w:fill="EEEEEE"/>
          </w:tcPr>
          <w:p>
            <w:pPr>
              <w:spacing w:after="0"/>
              <w:rPr>
                <w:sz w:val="20"/>
                <w:szCs w:val="20"/>
                <w:color w:val="auto"/>
              </w:rPr>
            </w:pPr>
            <w:r>
              <w:rPr>
                <w:rFonts w:ascii="Arial" w:cs="Arial" w:eastAsia="Arial" w:hAnsi="Arial"/>
                <w:sz w:val="17"/>
                <w:szCs w:val="17"/>
                <w:color w:val="auto"/>
              </w:rPr>
              <w:t>Legal fees and expenses*</w:t>
            </w:r>
          </w:p>
        </w:tc>
        <w:tc>
          <w:tcPr>
            <w:tcW w:w="1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35,000</w:t>
            </w:r>
          </w:p>
        </w:tc>
        <w:tc>
          <w:tcPr>
            <w:tcW w:w="600" w:type="dxa"/>
            <w:vAlign w:val="bottom"/>
            <w:shd w:val="clear" w:color="auto" w:fill="EEEEEE"/>
          </w:tcPr>
          <w:p>
            <w:pPr>
              <w:spacing w:after="0"/>
              <w:rPr>
                <w:sz w:val="17"/>
                <w:szCs w:val="17"/>
                <w:color w:val="auto"/>
              </w:rPr>
            </w:pPr>
          </w:p>
        </w:tc>
      </w:tr>
      <w:tr>
        <w:trPr>
          <w:trHeight w:val="202"/>
        </w:trPr>
        <w:tc>
          <w:tcPr>
            <w:tcW w:w="3460" w:type="dxa"/>
            <w:vAlign w:val="bottom"/>
          </w:tcPr>
          <w:p>
            <w:pPr>
              <w:spacing w:after="0"/>
              <w:rPr>
                <w:sz w:val="20"/>
                <w:szCs w:val="20"/>
                <w:color w:val="auto"/>
              </w:rPr>
            </w:pPr>
            <w:r>
              <w:rPr>
                <w:rFonts w:ascii="Arial" w:cs="Arial" w:eastAsia="Arial" w:hAnsi="Arial"/>
                <w:sz w:val="17"/>
                <w:szCs w:val="17"/>
                <w:color w:val="auto"/>
              </w:rPr>
              <w:t>Printing expenses*</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10,000</w:t>
            </w:r>
          </w:p>
        </w:tc>
        <w:tc>
          <w:tcPr>
            <w:tcW w:w="600" w:type="dxa"/>
            <w:vAlign w:val="bottom"/>
          </w:tcPr>
          <w:p>
            <w:pPr>
              <w:spacing w:after="0"/>
              <w:rPr>
                <w:sz w:val="17"/>
                <w:szCs w:val="17"/>
                <w:color w:val="auto"/>
              </w:rPr>
            </w:pPr>
          </w:p>
        </w:tc>
      </w:tr>
      <w:tr>
        <w:trPr>
          <w:trHeight w:val="202"/>
        </w:trPr>
        <w:tc>
          <w:tcPr>
            <w:tcW w:w="3460" w:type="dxa"/>
            <w:vAlign w:val="bottom"/>
            <w:shd w:val="clear" w:color="auto" w:fill="EEEEEE"/>
          </w:tcPr>
          <w:p>
            <w:pPr>
              <w:spacing w:after="0"/>
              <w:rPr>
                <w:sz w:val="20"/>
                <w:szCs w:val="20"/>
                <w:color w:val="auto"/>
              </w:rPr>
            </w:pPr>
            <w:r>
              <w:rPr>
                <w:rFonts w:ascii="Arial" w:cs="Arial" w:eastAsia="Arial" w:hAnsi="Arial"/>
                <w:sz w:val="17"/>
                <w:szCs w:val="17"/>
                <w:color w:val="auto"/>
              </w:rPr>
              <w:t>Accounting fees and expenses*</w:t>
            </w:r>
          </w:p>
        </w:tc>
        <w:tc>
          <w:tcPr>
            <w:tcW w:w="1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20,000</w:t>
            </w:r>
          </w:p>
        </w:tc>
        <w:tc>
          <w:tcPr>
            <w:tcW w:w="600" w:type="dxa"/>
            <w:vAlign w:val="bottom"/>
            <w:shd w:val="clear" w:color="auto" w:fill="EEEEEE"/>
          </w:tcPr>
          <w:p>
            <w:pPr>
              <w:spacing w:after="0"/>
              <w:rPr>
                <w:sz w:val="17"/>
                <w:szCs w:val="17"/>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7"/>
                <w:szCs w:val="17"/>
                <w:color w:val="auto"/>
              </w:rPr>
              <w:t>Miscellaneous*</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10,000</w:t>
            </w:r>
          </w:p>
        </w:tc>
        <w:tc>
          <w:tcPr>
            <w:tcW w:w="600" w:type="dxa"/>
            <w:vAlign w:val="bottom"/>
          </w:tcPr>
          <w:p>
            <w:pPr>
              <w:spacing w:after="0"/>
              <w:rPr>
                <w:sz w:val="18"/>
                <w:szCs w:val="18"/>
                <w:color w:val="auto"/>
              </w:rPr>
            </w:pPr>
          </w:p>
        </w:tc>
      </w:tr>
      <w:tr>
        <w:trPr>
          <w:trHeight w:val="89"/>
        </w:trPr>
        <w:tc>
          <w:tcPr>
            <w:tcW w:w="34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600" w:type="dxa"/>
            <w:vAlign w:val="bottom"/>
          </w:tcPr>
          <w:p>
            <w:pPr>
              <w:spacing w:after="0"/>
              <w:rPr>
                <w:sz w:val="7"/>
                <w:szCs w:val="7"/>
                <w:color w:val="auto"/>
              </w:rPr>
            </w:pPr>
          </w:p>
        </w:tc>
      </w:tr>
      <w:tr>
        <w:trPr>
          <w:trHeight w:val="81"/>
        </w:trPr>
        <w:tc>
          <w:tcPr>
            <w:tcW w:w="34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r>
      <w:tr>
        <w:trPr>
          <w:trHeight w:val="202"/>
        </w:trPr>
        <w:tc>
          <w:tcPr>
            <w:tcW w:w="3460" w:type="dxa"/>
            <w:vAlign w:val="bottom"/>
            <w:shd w:val="clear" w:color="auto" w:fill="EEEEEE"/>
          </w:tcPr>
          <w:p>
            <w:pPr>
              <w:ind w:left="240"/>
              <w:spacing w:after="0"/>
              <w:rPr>
                <w:sz w:val="20"/>
                <w:szCs w:val="20"/>
                <w:color w:val="auto"/>
              </w:rPr>
            </w:pPr>
            <w:r>
              <w:rPr>
                <w:rFonts w:ascii="Arial" w:cs="Arial" w:eastAsia="Arial" w:hAnsi="Arial"/>
                <w:sz w:val="17"/>
                <w:szCs w:val="17"/>
                <w:color w:val="auto"/>
              </w:rPr>
              <w:t>Total expenses*</w:t>
            </w:r>
          </w:p>
        </w:tc>
        <w:tc>
          <w:tcPr>
            <w:tcW w:w="1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5"/>
              </w:rPr>
              <w:t>79,672.59</w:t>
            </w:r>
          </w:p>
        </w:tc>
        <w:tc>
          <w:tcPr>
            <w:tcW w:w="600" w:type="dxa"/>
            <w:vAlign w:val="bottom"/>
            <w:shd w:val="clear" w:color="auto" w:fill="EEEEEE"/>
          </w:tcPr>
          <w:p>
            <w:pPr>
              <w:spacing w:after="0"/>
              <w:rPr>
                <w:sz w:val="17"/>
                <w:szCs w:val="17"/>
                <w:color w:val="auto"/>
              </w:rPr>
            </w:pPr>
          </w:p>
        </w:tc>
      </w:tr>
      <w:tr>
        <w:trPr>
          <w:trHeight w:val="123"/>
        </w:trPr>
        <w:tc>
          <w:tcPr>
            <w:tcW w:w="3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5231130</wp:posOffset>
            </wp:positionH>
            <wp:positionV relativeFrom="paragraph">
              <wp:posOffset>-36195</wp:posOffset>
            </wp:positionV>
            <wp:extent cx="1270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-36195</wp:posOffset>
            </wp:positionV>
            <wp:extent cx="1270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173990</wp:posOffset>
            </wp:positionV>
            <wp:extent cx="13239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356" w:lineRule="exact"/>
        <w:rPr>
          <w:sz w:val="20"/>
          <w:szCs w:val="20"/>
          <w:color w:val="auto"/>
        </w:rPr>
      </w:pPr>
    </w:p>
    <w:p>
      <w:pPr>
        <w:ind w:left="460" w:hanging="417"/>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Estimated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INDEMNIFICATION OF DIRECTORS AND OFFICERS</w:t>
      </w:r>
    </w:p>
    <w:p>
      <w:pPr>
        <w:spacing w:after="0" w:line="175" w:lineRule="exact"/>
        <w:rPr>
          <w:sz w:val="20"/>
          <w:szCs w:val="20"/>
          <w:color w:val="auto"/>
        </w:rPr>
      </w:pPr>
    </w:p>
    <w:p>
      <w:pPr>
        <w:ind w:right="20" w:firstLine="210"/>
        <w:spacing w:after="0" w:line="286" w:lineRule="auto"/>
        <w:rPr>
          <w:sz w:val="20"/>
          <w:szCs w:val="20"/>
          <w:color w:val="auto"/>
        </w:rPr>
      </w:pPr>
      <w:r>
        <w:rPr>
          <w:rFonts w:ascii="Arial" w:cs="Arial" w:eastAsia="Arial" w:hAnsi="Arial"/>
          <w:sz w:val="15"/>
          <w:szCs w:val="15"/>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against expenses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21" w:lineRule="exact"/>
        <w:rPr>
          <w:sz w:val="20"/>
          <w:szCs w:val="20"/>
          <w:color w:val="auto"/>
        </w:rPr>
      </w:pPr>
    </w:p>
    <w:p>
      <w:pPr>
        <w:ind w:firstLine="210"/>
        <w:spacing w:after="0" w:line="254" w:lineRule="auto"/>
        <w:rPr>
          <w:sz w:val="20"/>
          <w:szCs w:val="20"/>
          <w:color w:val="auto"/>
        </w:rPr>
      </w:pPr>
      <w:r>
        <w:rPr>
          <w:rFonts w:ascii="Arial" w:cs="Arial" w:eastAsia="Arial" w:hAnsi="Arial"/>
          <w:sz w:val="17"/>
          <w:szCs w:val="17"/>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(relating to unlawful payment of dividends and unlawful stock purchase and redemption) or (iv) for any transaction from which the director derived an improper personal benefit.</w:t>
      </w:r>
    </w:p>
    <w:p>
      <w:pPr>
        <w:spacing w:after="0" w:line="154" w:lineRule="exact"/>
        <w:rPr>
          <w:sz w:val="20"/>
          <w:szCs w:val="20"/>
          <w:color w:val="auto"/>
        </w:rPr>
      </w:pPr>
    </w:p>
    <w:p>
      <w:pPr>
        <w:ind w:right="40" w:firstLine="207"/>
        <w:spacing w:after="0" w:line="283" w:lineRule="auto"/>
        <w:rPr>
          <w:sz w:val="20"/>
          <w:szCs w:val="20"/>
          <w:color w:val="auto"/>
        </w:rPr>
      </w:pPr>
      <w:r>
        <w:rPr>
          <w:rFonts w:ascii="Arial" w:cs="Arial" w:eastAsia="Arial" w:hAnsi="Arial"/>
          <w:sz w:val="16"/>
          <w:szCs w:val="16"/>
          <w:color w:val="auto"/>
        </w:rPr>
        <w:t>The Registrant’s Certificate provides that the Company’s Directors shall not be liable to the Registrant or its stockholders for monetary damages for breach of fiduciary duty as a director except to the extent that exculpation from liabilities is not permitted under the DGCL as in effect at the time such liability is determined. The Registrant’s Certificate further provides that the Registrant shall indemnify its directors and officers to the fullest extent permitted by the DGCL.</w:t>
      </w:r>
    </w:p>
    <w:p>
      <w:pPr>
        <w:spacing w:after="0" w:line="120" w:lineRule="exact"/>
        <w:rPr>
          <w:sz w:val="20"/>
          <w:szCs w:val="20"/>
          <w:color w:val="auto"/>
        </w:rPr>
      </w:pPr>
    </w:p>
    <w:p>
      <w:pPr>
        <w:ind w:right="260" w:firstLine="207"/>
        <w:spacing w:after="0" w:line="271" w:lineRule="auto"/>
        <w:rPr>
          <w:sz w:val="20"/>
          <w:szCs w:val="20"/>
          <w:color w:val="auto"/>
        </w:rPr>
      </w:pPr>
      <w:r>
        <w:rPr>
          <w:rFonts w:ascii="Arial" w:cs="Arial" w:eastAsia="Arial" w:hAnsi="Arial"/>
          <w:sz w:val="17"/>
          <w:szCs w:val="17"/>
          <w:color w:val="auto"/>
        </w:rPr>
        <w:t>The Company has a liability insurance policy in effect which covers certain claims against any officer or director of the Company by reason of certain breaches of duty, neglect, errors or omissions committed by such person in his or her capacity as an officer or director.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5995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00" w:type="dxa"/>
            <w:vAlign w:val="bottom"/>
          </w:tcPr>
          <w:p>
            <w:pPr>
              <w:spacing w:after="0"/>
              <w:rPr>
                <w:sz w:val="20"/>
                <w:szCs w:val="20"/>
                <w:color w:val="auto"/>
              </w:rPr>
            </w:pPr>
            <w:r>
              <w:rPr>
                <w:rFonts w:ascii="Arial" w:cs="Arial" w:eastAsia="Arial" w:hAnsi="Arial"/>
                <w:sz w:val="17"/>
                <w:szCs w:val="17"/>
                <w:b w:val="1"/>
                <w:bCs w:val="1"/>
                <w:color w:val="auto"/>
              </w:rPr>
              <w:t>ITEM 16.</w:t>
            </w:r>
          </w:p>
        </w:tc>
        <w:tc>
          <w:tcPr>
            <w:tcW w:w="10120" w:type="dxa"/>
            <w:vAlign w:val="bottom"/>
          </w:tcPr>
          <w:p>
            <w:pPr>
              <w:ind w:left="400"/>
              <w:spacing w:after="0"/>
              <w:rPr>
                <w:sz w:val="20"/>
                <w:szCs w:val="20"/>
                <w:color w:val="auto"/>
              </w:rPr>
            </w:pPr>
            <w:r>
              <w:rPr>
                <w:rFonts w:ascii="Arial" w:cs="Arial" w:eastAsia="Arial" w:hAnsi="Arial"/>
                <w:sz w:val="17"/>
                <w:szCs w:val="17"/>
                <w:b w:val="1"/>
                <w:bCs w:val="1"/>
                <w:color w:val="auto"/>
              </w:rPr>
              <w:t>EXHIBITS</w:t>
            </w:r>
          </w:p>
        </w:tc>
      </w:tr>
      <w:tr>
        <w:trPr>
          <w:trHeight w:val="404"/>
        </w:trPr>
        <w:tc>
          <w:tcPr>
            <w:tcW w:w="1100" w:type="dxa"/>
            <w:vAlign w:val="bottom"/>
          </w:tcPr>
          <w:p>
            <w:pPr>
              <w:spacing w:after="0"/>
              <w:rPr>
                <w:sz w:val="20"/>
                <w:szCs w:val="20"/>
                <w:color w:val="auto"/>
              </w:rPr>
            </w:pPr>
            <w:r>
              <w:rPr>
                <w:rFonts w:ascii="Arial" w:cs="Arial" w:eastAsia="Arial" w:hAnsi="Arial"/>
                <w:sz w:val="17"/>
                <w:szCs w:val="17"/>
                <w:color w:val="auto"/>
              </w:rPr>
              <w:t>4.1</w:t>
            </w:r>
          </w:p>
        </w:tc>
        <w:tc>
          <w:tcPr>
            <w:tcW w:w="10120" w:type="dxa"/>
            <w:vAlign w:val="bottom"/>
          </w:tcPr>
          <w:p>
            <w:pPr>
              <w:ind w:left="400"/>
              <w:spacing w:after="0"/>
              <w:rPr>
                <w:sz w:val="20"/>
                <w:szCs w:val="20"/>
                <w:color w:val="auto"/>
              </w:rPr>
            </w:pPr>
            <w:r>
              <w:rPr>
                <w:rFonts w:ascii="Arial" w:cs="Arial" w:eastAsia="Arial" w:hAnsi="Arial"/>
                <w:sz w:val="17"/>
                <w:szCs w:val="17"/>
                <w:color w:val="auto"/>
              </w:rPr>
              <w:t>Specimen Common Stock Certificate (1)</w:t>
            </w:r>
          </w:p>
        </w:tc>
      </w:tr>
      <w:tr>
        <w:trPr>
          <w:trHeight w:val="404"/>
        </w:trPr>
        <w:tc>
          <w:tcPr>
            <w:tcW w:w="1100" w:type="dxa"/>
            <w:vAlign w:val="bottom"/>
          </w:tcPr>
          <w:p>
            <w:pPr>
              <w:spacing w:after="0"/>
              <w:rPr>
                <w:sz w:val="20"/>
                <w:szCs w:val="20"/>
                <w:color w:val="auto"/>
              </w:rPr>
            </w:pPr>
            <w:r>
              <w:rPr>
                <w:rFonts w:ascii="Arial" w:cs="Arial" w:eastAsia="Arial" w:hAnsi="Arial"/>
                <w:sz w:val="17"/>
                <w:szCs w:val="17"/>
                <w:color w:val="auto"/>
              </w:rPr>
              <w:t>5.1</w:t>
            </w:r>
          </w:p>
        </w:tc>
        <w:tc>
          <w:tcPr>
            <w:tcW w:w="10120" w:type="dxa"/>
            <w:vAlign w:val="bottom"/>
          </w:tcPr>
          <w:p>
            <w:pPr>
              <w:ind w:left="400"/>
              <w:spacing w:after="0"/>
              <w:rPr>
                <w:sz w:val="20"/>
                <w:szCs w:val="20"/>
                <w:color w:val="auto"/>
              </w:rPr>
            </w:pPr>
            <w:r>
              <w:rPr>
                <w:rFonts w:ascii="Arial" w:cs="Arial" w:eastAsia="Arial" w:hAnsi="Arial"/>
                <w:sz w:val="17"/>
                <w:szCs w:val="17"/>
                <w:color w:val="auto"/>
              </w:rPr>
              <w:t>Opinion of Ropes &amp; Gray LLP (1)</w:t>
            </w:r>
          </w:p>
        </w:tc>
      </w:tr>
      <w:tr>
        <w:trPr>
          <w:trHeight w:val="393"/>
        </w:trPr>
        <w:tc>
          <w:tcPr>
            <w:tcW w:w="1100" w:type="dxa"/>
            <w:vAlign w:val="bottom"/>
          </w:tcPr>
          <w:p>
            <w:pPr>
              <w:spacing w:after="0"/>
              <w:rPr>
                <w:sz w:val="20"/>
                <w:szCs w:val="20"/>
                <w:color w:val="auto"/>
              </w:rPr>
            </w:pPr>
            <w:r>
              <w:rPr>
                <w:rFonts w:ascii="Arial" w:cs="Arial" w:eastAsia="Arial" w:hAnsi="Arial"/>
                <w:sz w:val="17"/>
                <w:szCs w:val="17"/>
                <w:color w:val="auto"/>
              </w:rPr>
              <w:t>10.1</w:t>
            </w:r>
          </w:p>
        </w:tc>
        <w:tc>
          <w:tcPr>
            <w:tcW w:w="10120" w:type="dxa"/>
            <w:vAlign w:val="bottom"/>
          </w:tcPr>
          <w:p>
            <w:pPr>
              <w:ind w:left="400"/>
              <w:spacing w:after="0"/>
              <w:rPr>
                <w:sz w:val="20"/>
                <w:szCs w:val="20"/>
                <w:color w:val="auto"/>
              </w:rPr>
            </w:pPr>
            <w:r>
              <w:rPr>
                <w:rFonts w:ascii="Arial" w:cs="Arial" w:eastAsia="Arial" w:hAnsi="Arial"/>
                <w:sz w:val="17"/>
                <w:szCs w:val="17"/>
                <w:color w:val="auto"/>
                <w:w w:val="88"/>
              </w:rPr>
              <w:t>Form of Securities Purchase Agreement, dated as of June 16, 2004, by and among StemCells, Inc. and the purchasers listed on Exhibit A thereto</w:t>
            </w:r>
          </w:p>
        </w:tc>
      </w:tr>
      <w:tr>
        <w:trPr>
          <w:trHeight w:val="214"/>
        </w:trPr>
        <w:tc>
          <w:tcPr>
            <w:tcW w:w="1100" w:type="dxa"/>
            <w:vAlign w:val="bottom"/>
          </w:tcPr>
          <w:p>
            <w:pPr>
              <w:spacing w:after="0"/>
              <w:rPr>
                <w:sz w:val="18"/>
                <w:szCs w:val="18"/>
                <w:color w:val="auto"/>
              </w:rPr>
            </w:pPr>
          </w:p>
        </w:tc>
        <w:tc>
          <w:tcPr>
            <w:tcW w:w="10120" w:type="dxa"/>
            <w:vAlign w:val="bottom"/>
          </w:tcPr>
          <w:p>
            <w:pPr>
              <w:ind w:left="400"/>
              <w:spacing w:after="0"/>
              <w:rPr>
                <w:sz w:val="20"/>
                <w:szCs w:val="20"/>
                <w:color w:val="auto"/>
              </w:rPr>
            </w:pPr>
            <w:r>
              <w:rPr>
                <w:rFonts w:ascii="Arial" w:cs="Arial" w:eastAsia="Arial" w:hAnsi="Arial"/>
                <w:sz w:val="17"/>
                <w:szCs w:val="17"/>
                <w:color w:val="auto"/>
              </w:rPr>
              <w:t>(2)</w:t>
            </w:r>
          </w:p>
        </w:tc>
      </w:tr>
      <w:tr>
        <w:trPr>
          <w:trHeight w:val="404"/>
        </w:trPr>
        <w:tc>
          <w:tcPr>
            <w:tcW w:w="1100" w:type="dxa"/>
            <w:vAlign w:val="bottom"/>
          </w:tcPr>
          <w:p>
            <w:pPr>
              <w:spacing w:after="0"/>
              <w:rPr>
                <w:sz w:val="20"/>
                <w:szCs w:val="20"/>
                <w:color w:val="auto"/>
              </w:rPr>
            </w:pPr>
            <w:r>
              <w:rPr>
                <w:rFonts w:ascii="Arial" w:cs="Arial" w:eastAsia="Arial" w:hAnsi="Arial"/>
                <w:sz w:val="17"/>
                <w:szCs w:val="17"/>
                <w:color w:val="auto"/>
              </w:rPr>
              <w:t>10.2</w:t>
            </w:r>
          </w:p>
        </w:tc>
        <w:tc>
          <w:tcPr>
            <w:tcW w:w="10120" w:type="dxa"/>
            <w:vAlign w:val="bottom"/>
          </w:tcPr>
          <w:p>
            <w:pPr>
              <w:ind w:left="400"/>
              <w:spacing w:after="0"/>
              <w:rPr>
                <w:sz w:val="20"/>
                <w:szCs w:val="20"/>
                <w:color w:val="auto"/>
              </w:rPr>
            </w:pPr>
            <w:r>
              <w:rPr>
                <w:rFonts w:ascii="Arial" w:cs="Arial" w:eastAsia="Arial" w:hAnsi="Arial"/>
                <w:sz w:val="17"/>
                <w:szCs w:val="17"/>
                <w:color w:val="auto"/>
              </w:rPr>
              <w:t>Form of Warrant (2)</w:t>
            </w:r>
          </w:p>
        </w:tc>
      </w:tr>
      <w:tr>
        <w:trPr>
          <w:trHeight w:val="404"/>
        </w:trPr>
        <w:tc>
          <w:tcPr>
            <w:tcW w:w="1100" w:type="dxa"/>
            <w:vAlign w:val="bottom"/>
          </w:tcPr>
          <w:p>
            <w:pPr>
              <w:spacing w:after="0"/>
              <w:rPr>
                <w:sz w:val="20"/>
                <w:szCs w:val="20"/>
                <w:color w:val="auto"/>
              </w:rPr>
            </w:pPr>
            <w:r>
              <w:rPr>
                <w:rFonts w:ascii="Arial" w:cs="Arial" w:eastAsia="Arial" w:hAnsi="Arial"/>
                <w:sz w:val="17"/>
                <w:szCs w:val="17"/>
                <w:color w:val="auto"/>
              </w:rPr>
              <w:t>23.1</w:t>
            </w:r>
          </w:p>
        </w:tc>
        <w:tc>
          <w:tcPr>
            <w:tcW w:w="10120" w:type="dxa"/>
            <w:vAlign w:val="bottom"/>
          </w:tcPr>
          <w:p>
            <w:pPr>
              <w:ind w:left="400"/>
              <w:spacing w:after="0"/>
              <w:rPr>
                <w:sz w:val="20"/>
                <w:szCs w:val="20"/>
                <w:color w:val="auto"/>
              </w:rPr>
            </w:pPr>
            <w:r>
              <w:rPr>
                <w:rFonts w:ascii="Arial" w:cs="Arial" w:eastAsia="Arial" w:hAnsi="Arial"/>
                <w:sz w:val="17"/>
                <w:szCs w:val="17"/>
                <w:color w:val="auto"/>
              </w:rPr>
              <w:t>Consent of Ernst &amp; Young LLP, independent registered public accounting firm (1)</w:t>
            </w:r>
          </w:p>
        </w:tc>
      </w:tr>
      <w:tr>
        <w:trPr>
          <w:trHeight w:val="404"/>
        </w:trPr>
        <w:tc>
          <w:tcPr>
            <w:tcW w:w="1100" w:type="dxa"/>
            <w:vAlign w:val="bottom"/>
          </w:tcPr>
          <w:p>
            <w:pPr>
              <w:spacing w:after="0"/>
              <w:rPr>
                <w:sz w:val="20"/>
                <w:szCs w:val="20"/>
                <w:color w:val="auto"/>
              </w:rPr>
            </w:pPr>
            <w:r>
              <w:rPr>
                <w:rFonts w:ascii="Arial" w:cs="Arial" w:eastAsia="Arial" w:hAnsi="Arial"/>
                <w:sz w:val="17"/>
                <w:szCs w:val="17"/>
                <w:color w:val="auto"/>
              </w:rPr>
              <w:t>23.2</w:t>
            </w:r>
          </w:p>
        </w:tc>
        <w:tc>
          <w:tcPr>
            <w:tcW w:w="10120" w:type="dxa"/>
            <w:vAlign w:val="bottom"/>
          </w:tcPr>
          <w:p>
            <w:pPr>
              <w:ind w:left="400"/>
              <w:spacing w:after="0"/>
              <w:rPr>
                <w:sz w:val="20"/>
                <w:szCs w:val="20"/>
                <w:color w:val="auto"/>
              </w:rPr>
            </w:pPr>
            <w:r>
              <w:rPr>
                <w:rFonts w:ascii="Arial" w:cs="Arial" w:eastAsia="Arial" w:hAnsi="Arial"/>
                <w:sz w:val="17"/>
                <w:szCs w:val="17"/>
                <w:color w:val="auto"/>
              </w:rPr>
              <w:t>Consent of Grant Thornton LLP, Independent Registered Public Accountants (1)</w:t>
            </w:r>
          </w:p>
        </w:tc>
      </w:tr>
      <w:tr>
        <w:trPr>
          <w:trHeight w:val="404"/>
        </w:trPr>
        <w:tc>
          <w:tcPr>
            <w:tcW w:w="1100" w:type="dxa"/>
            <w:vAlign w:val="bottom"/>
          </w:tcPr>
          <w:p>
            <w:pPr>
              <w:spacing w:after="0"/>
              <w:rPr>
                <w:sz w:val="20"/>
                <w:szCs w:val="20"/>
                <w:color w:val="auto"/>
              </w:rPr>
            </w:pPr>
            <w:r>
              <w:rPr>
                <w:rFonts w:ascii="Arial" w:cs="Arial" w:eastAsia="Arial" w:hAnsi="Arial"/>
                <w:sz w:val="17"/>
                <w:szCs w:val="17"/>
                <w:color w:val="auto"/>
              </w:rPr>
              <w:t>23.3</w:t>
            </w:r>
          </w:p>
        </w:tc>
        <w:tc>
          <w:tcPr>
            <w:tcW w:w="10120" w:type="dxa"/>
            <w:vAlign w:val="bottom"/>
          </w:tcPr>
          <w:p>
            <w:pPr>
              <w:ind w:left="400"/>
              <w:spacing w:after="0"/>
              <w:rPr>
                <w:sz w:val="20"/>
                <w:szCs w:val="20"/>
                <w:color w:val="auto"/>
              </w:rPr>
            </w:pPr>
            <w:r>
              <w:rPr>
                <w:rFonts w:ascii="Arial" w:cs="Arial" w:eastAsia="Arial" w:hAnsi="Arial"/>
                <w:sz w:val="17"/>
                <w:szCs w:val="17"/>
                <w:color w:val="auto"/>
              </w:rPr>
              <w:t>Consent of Ropes &amp; Gray LLP (To be included in the opinion filed as Exhibit 5.1)</w:t>
            </w:r>
          </w:p>
        </w:tc>
      </w:tr>
      <w:tr>
        <w:trPr>
          <w:trHeight w:val="404"/>
        </w:trPr>
        <w:tc>
          <w:tcPr>
            <w:tcW w:w="1100" w:type="dxa"/>
            <w:vAlign w:val="bottom"/>
          </w:tcPr>
          <w:p>
            <w:pPr>
              <w:spacing w:after="0"/>
              <w:rPr>
                <w:sz w:val="20"/>
                <w:szCs w:val="20"/>
                <w:color w:val="auto"/>
              </w:rPr>
            </w:pPr>
            <w:r>
              <w:rPr>
                <w:rFonts w:ascii="Arial" w:cs="Arial" w:eastAsia="Arial" w:hAnsi="Arial"/>
                <w:sz w:val="17"/>
                <w:szCs w:val="17"/>
                <w:color w:val="auto"/>
              </w:rPr>
              <w:t>24.1</w:t>
            </w:r>
          </w:p>
        </w:tc>
        <w:tc>
          <w:tcPr>
            <w:tcW w:w="10120" w:type="dxa"/>
            <w:vAlign w:val="bottom"/>
          </w:tcPr>
          <w:p>
            <w:pPr>
              <w:ind w:left="400"/>
              <w:spacing w:after="0"/>
              <w:rPr>
                <w:sz w:val="20"/>
                <w:szCs w:val="20"/>
                <w:color w:val="auto"/>
              </w:rPr>
            </w:pPr>
            <w:r>
              <w:rPr>
                <w:rFonts w:ascii="Arial" w:cs="Arial" w:eastAsia="Arial" w:hAnsi="Arial"/>
                <w:sz w:val="17"/>
                <w:szCs w:val="17"/>
                <w:color w:val="auto"/>
              </w:rPr>
              <w:t>Power of Attorney (Included on the signature page hereto)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128905</wp:posOffset>
            </wp:positionV>
            <wp:extent cx="13239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84" w:lineRule="exact"/>
        <w:rPr>
          <w:sz w:val="20"/>
          <w:szCs w:val="20"/>
          <w:color w:val="auto"/>
        </w:rPr>
      </w:pPr>
    </w:p>
    <w:p>
      <w:pPr>
        <w:ind w:left="540" w:hanging="533"/>
        <w:spacing w:after="0"/>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08" w:lineRule="exact"/>
        <w:rPr>
          <w:rFonts w:ascii="Arial" w:cs="Arial" w:eastAsia="Arial" w:hAnsi="Arial"/>
          <w:sz w:val="17"/>
          <w:szCs w:val="17"/>
          <w:color w:val="auto"/>
        </w:rPr>
      </w:pPr>
    </w:p>
    <w:p>
      <w:pPr>
        <w:ind w:left="540" w:hanging="533"/>
        <w:spacing w:after="0"/>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Incorporated by reference to our Current Report on Form 8-K filed with the SEC on June 17, 2004.</w:t>
      </w:r>
    </w:p>
    <w:p>
      <w:pPr>
        <w:spacing w:after="0" w:line="17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ITEM 17. </w:t>
      </w:r>
      <w:r>
        <w:rPr>
          <w:rFonts w:ascii="Arial" w:cs="Arial" w:eastAsia="Arial" w:hAnsi="Arial"/>
          <w:sz w:val="17"/>
          <w:szCs w:val="17"/>
          <w:b w:val="1"/>
          <w:bCs w:val="1"/>
          <w:color w:val="auto"/>
        </w:rPr>
        <w:t>UNDERTAKINGS</w:t>
      </w:r>
    </w:p>
    <w:p>
      <w:pPr>
        <w:spacing w:after="0" w:line="175" w:lineRule="exact"/>
        <w:rPr>
          <w:rFonts w:ascii="Arial" w:cs="Arial" w:eastAsia="Arial" w:hAnsi="Arial"/>
          <w:sz w:val="17"/>
          <w:szCs w:val="17"/>
          <w:color w:val="auto"/>
        </w:rPr>
      </w:pPr>
    </w:p>
    <w:p>
      <w:pPr>
        <w:ind w:firstLine="212"/>
        <w:spacing w:after="0" w:line="270" w:lineRule="auto"/>
        <w:tabs>
          <w:tab w:leader="none" w:pos="369" w:val="left"/>
        </w:tabs>
        <w:numPr>
          <w:ilvl w:val="1"/>
          <w:numId w:val="1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set forth in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31" w:lineRule="exact"/>
        <w:rPr>
          <w:rFonts w:ascii="Arial" w:cs="Arial" w:eastAsia="Arial" w:hAnsi="Arial"/>
          <w:sz w:val="16"/>
          <w:szCs w:val="16"/>
          <w:color w:val="auto"/>
        </w:rPr>
      </w:pPr>
    </w:p>
    <w:p>
      <w:pPr>
        <w:jc w:val="both"/>
        <w:ind w:right="60" w:firstLine="212"/>
        <w:spacing w:after="0" w:line="300" w:lineRule="auto"/>
        <w:tabs>
          <w:tab w:leader="none" w:pos="376" w:val="left"/>
        </w:tabs>
        <w:numPr>
          <w:ilvl w:val="1"/>
          <w:numId w:val="14"/>
        </w:numPr>
        <w:rPr>
          <w:rFonts w:ascii="Arial" w:cs="Arial" w:eastAsia="Arial" w:hAnsi="Arial"/>
          <w:sz w:val="15"/>
          <w:szCs w:val="15"/>
          <w:color w:val="auto"/>
        </w:rPr>
      </w:pPr>
      <w:r>
        <w:rPr>
          <w:rFonts w:ascii="Arial" w:cs="Arial" w:eastAsia="Arial" w:hAnsi="Arial"/>
          <w:sz w:val="15"/>
          <w:szCs w:val="15"/>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3" w:lineRule="exact"/>
        <w:rPr>
          <w:rFonts w:ascii="Arial" w:cs="Arial" w:eastAsia="Arial" w:hAnsi="Arial"/>
          <w:sz w:val="15"/>
          <w:szCs w:val="15"/>
          <w:color w:val="auto"/>
        </w:rPr>
      </w:pPr>
    </w:p>
    <w:p>
      <w:pPr>
        <w:ind w:left="360" w:hanging="148"/>
        <w:spacing w:after="0"/>
        <w:tabs>
          <w:tab w:leader="none" w:pos="3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undersigned registrant hereby undertakes:</w:t>
      </w:r>
    </w:p>
    <w:p>
      <w:pPr>
        <w:spacing w:after="0" w:line="171" w:lineRule="exact"/>
        <w:rPr>
          <w:rFonts w:ascii="Arial" w:cs="Arial" w:eastAsia="Arial" w:hAnsi="Arial"/>
          <w:sz w:val="17"/>
          <w:szCs w:val="17"/>
          <w:color w:val="auto"/>
        </w:rPr>
      </w:pPr>
    </w:p>
    <w:p>
      <w:pPr>
        <w:ind w:left="1000" w:hanging="235"/>
        <w:spacing w:after="0"/>
        <w:tabs>
          <w:tab w:leader="none" w:pos="1000" w:val="left"/>
        </w:tabs>
        <w:numPr>
          <w:ilvl w:val="2"/>
          <w:numId w:val="1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71" w:lineRule="exact"/>
        <w:rPr>
          <w:rFonts w:ascii="Arial" w:cs="Arial" w:eastAsia="Arial" w:hAnsi="Arial"/>
          <w:sz w:val="17"/>
          <w:szCs w:val="17"/>
          <w:color w:val="auto"/>
        </w:rPr>
      </w:pPr>
    </w:p>
    <w:p>
      <w:pPr>
        <w:ind w:left="1480" w:hanging="162"/>
        <w:spacing w:after="0"/>
        <w:tabs>
          <w:tab w:leader="none" w:pos="1480" w:val="left"/>
        </w:tabs>
        <w:numPr>
          <w:ilvl w:val="3"/>
          <w:numId w:val="14"/>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w:t>
      </w:r>
    </w:p>
    <w:p>
      <w:pPr>
        <w:spacing w:after="0" w:line="183" w:lineRule="exact"/>
        <w:rPr>
          <w:rFonts w:ascii="Arial" w:cs="Arial" w:eastAsia="Arial" w:hAnsi="Arial"/>
          <w:sz w:val="17"/>
          <w:szCs w:val="17"/>
          <w:color w:val="auto"/>
        </w:rPr>
      </w:pPr>
    </w:p>
    <w:p>
      <w:pPr>
        <w:ind w:left="680" w:right="520" w:firstLine="638"/>
        <w:spacing w:after="0" w:line="259" w:lineRule="auto"/>
        <w:tabs>
          <w:tab w:leader="none" w:pos="1480" w:val="left"/>
        </w:tabs>
        <w:numPr>
          <w:ilvl w:val="3"/>
          <w:numId w:val="1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5995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left="680" w:right="20"/>
        <w:spacing w:after="0" w:line="255" w:lineRule="auto"/>
        <w:rPr>
          <w:sz w:val="20"/>
          <w:szCs w:val="20"/>
          <w:color w:val="auto"/>
        </w:rPr>
      </w:pPr>
      <w:r>
        <w:rPr>
          <w:rFonts w:ascii="Arial" w:cs="Arial" w:eastAsia="Arial" w:hAnsi="Arial"/>
          <w:sz w:val="17"/>
          <w:szCs w:val="17"/>
          <w:color w:val="auto"/>
        </w:rPr>
        <w:t>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55" w:lineRule="exact"/>
        <w:rPr>
          <w:sz w:val="20"/>
          <w:szCs w:val="20"/>
          <w:color w:val="auto"/>
        </w:rPr>
      </w:pPr>
    </w:p>
    <w:p>
      <w:pPr>
        <w:ind w:left="680" w:right="140" w:firstLine="632"/>
        <w:spacing w:after="0" w:line="271" w:lineRule="auto"/>
        <w:rPr>
          <w:sz w:val="20"/>
          <w:szCs w:val="20"/>
          <w:color w:val="auto"/>
        </w:rPr>
      </w:pPr>
      <w:r>
        <w:rPr>
          <w:rFonts w:ascii="Arial" w:cs="Arial" w:eastAsia="Arial" w:hAnsi="Arial"/>
          <w:sz w:val="17"/>
          <w:szCs w:val="17"/>
          <w:color w:val="auto"/>
        </w:rPr>
        <w:t>c. To include any material information with respect to the plan of distribution not previously disclosed in the registration statement or any material change to such information in the registration statement;</w:t>
      </w:r>
    </w:p>
    <w:p>
      <w:pPr>
        <w:spacing w:after="0" w:line="127" w:lineRule="exact"/>
        <w:rPr>
          <w:sz w:val="20"/>
          <w:szCs w:val="20"/>
          <w:color w:val="auto"/>
        </w:rPr>
      </w:pPr>
    </w:p>
    <w:p>
      <w:pPr>
        <w:jc w:val="both"/>
        <w:ind w:right="480"/>
        <w:spacing w:after="0" w:line="259" w:lineRule="auto"/>
        <w:rPr>
          <w:sz w:val="20"/>
          <w:szCs w:val="20"/>
          <w:color w:val="auto"/>
        </w:rPr>
      </w:pPr>
      <w:r>
        <w:rPr>
          <w:rFonts w:ascii="Arial" w:cs="Arial" w:eastAsia="Arial" w:hAnsi="Arial"/>
          <w:sz w:val="17"/>
          <w:szCs w:val="17"/>
          <w:color w:val="auto"/>
        </w:rPr>
        <w:t>PROVIDED, HOWEVER, that paragraphs (c)(1)(a) and (c)(1)(b) do not apply if the information required to be included in a post-effective amendment by those paragraphs is contained in periodic reports filed by the registrant pursuant to Section 13 or 15(d) of the Securities Exchange Act of 1934 that are incorporated by reference in the registration statement.</w:t>
      </w:r>
    </w:p>
    <w:p>
      <w:pPr>
        <w:spacing w:after="0" w:line="138" w:lineRule="exact"/>
        <w:rPr>
          <w:sz w:val="20"/>
          <w:szCs w:val="20"/>
          <w:color w:val="auto"/>
        </w:rPr>
      </w:pPr>
    </w:p>
    <w:p>
      <w:pPr>
        <w:ind w:left="340" w:right="220" w:firstLine="425"/>
        <w:spacing w:after="0" w:line="259"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50" w:lineRule="exact"/>
        <w:rPr>
          <w:rFonts w:ascii="Arial" w:cs="Arial" w:eastAsia="Arial" w:hAnsi="Arial"/>
          <w:sz w:val="17"/>
          <w:szCs w:val="17"/>
          <w:color w:val="auto"/>
        </w:rPr>
      </w:pPr>
    </w:p>
    <w:p>
      <w:pPr>
        <w:ind w:left="1000" w:hanging="235"/>
        <w:spacing w:after="0"/>
        <w:tabs>
          <w:tab w:leader="none" w:pos="10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w:t>
      </w:r>
    </w:p>
    <w:p>
      <w:pPr>
        <w:spacing w:after="0" w:line="41" w:lineRule="exact"/>
        <w:rPr>
          <w:rFonts w:ascii="Arial" w:cs="Arial" w:eastAsia="Arial" w:hAnsi="Arial"/>
          <w:sz w:val="15"/>
          <w:szCs w:val="15"/>
          <w:color w:val="auto"/>
        </w:rPr>
      </w:pPr>
    </w:p>
    <w:p>
      <w:pPr>
        <w:ind w:left="340"/>
        <w:spacing w:after="0"/>
        <w:rPr>
          <w:rFonts w:ascii="Arial" w:cs="Arial" w:eastAsia="Arial" w:hAnsi="Arial"/>
          <w:sz w:val="15"/>
          <w:szCs w:val="15"/>
          <w:color w:val="auto"/>
        </w:rPr>
      </w:pPr>
      <w:r>
        <w:rPr>
          <w:rFonts w:ascii="Arial" w:cs="Arial" w:eastAsia="Arial" w:hAnsi="Arial"/>
          <w:sz w:val="17"/>
          <w:szCs w:val="17"/>
          <w:color w:val="auto"/>
        </w:rPr>
        <w:t>offering.</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5995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320"/>
          </w:cols>
          <w:pgMar w:left="240" w:top="402" w:right="3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SIGNATURES</w:t>
      </w:r>
    </w:p>
    <w:p>
      <w:pPr>
        <w:spacing w:after="0" w:line="188" w:lineRule="exact"/>
        <w:rPr>
          <w:sz w:val="20"/>
          <w:szCs w:val="20"/>
          <w:color w:val="auto"/>
        </w:rPr>
      </w:pPr>
    </w:p>
    <w:p>
      <w:pPr>
        <w:jc w:val="both"/>
        <w:ind w:firstLine="210"/>
        <w:spacing w:after="0" w:line="259"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Palo Alto, State of California, on the 14th day of July, 2004.</w:t>
      </w:r>
    </w:p>
    <w:p>
      <w:pPr>
        <w:spacing w:after="0" w:line="172"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STEMCELLS, INC.</w:t>
      </w:r>
    </w:p>
    <w:p>
      <w:pPr>
        <w:spacing w:after="0" w:line="213"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By: /s/ Martin M.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12065</wp:posOffset>
            </wp:positionV>
            <wp:extent cx="27609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60980" cy="8255"/>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7"/>
          <w:szCs w:val="17"/>
          <w:color w:val="auto"/>
        </w:rPr>
        <w:t>Name: Martin M. McGlynn</w:t>
      </w:r>
    </w:p>
    <w:p>
      <w:pPr>
        <w:spacing w:after="0" w:line="19" w:lineRule="exact"/>
        <w:rPr>
          <w:sz w:val="20"/>
          <w:szCs w:val="20"/>
          <w:color w:val="auto"/>
        </w:rPr>
      </w:pPr>
    </w:p>
    <w:p>
      <w:pPr>
        <w:ind w:left="5460"/>
        <w:spacing w:after="0"/>
        <w:tabs>
          <w:tab w:leader="none" w:pos="5980" w:val="left"/>
        </w:tabs>
        <w:rPr>
          <w:sz w:val="20"/>
          <w:szCs w:val="20"/>
          <w:color w:val="auto"/>
        </w:rPr>
      </w:pPr>
      <w:r>
        <w:rPr>
          <w:rFonts w:ascii="Arial" w:cs="Arial" w:eastAsia="Arial" w:hAnsi="Arial"/>
          <w:sz w:val="17"/>
          <w:szCs w:val="17"/>
          <w:color w:val="auto"/>
        </w:rPr>
        <w:t>Title:</w:t>
        <w:tab/>
        <w:t>President and Chief Executive Officer</w:t>
      </w:r>
    </w:p>
    <w:p>
      <w:pPr>
        <w:spacing w:after="0" w:line="36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5995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180"/>
          </w:cols>
          <w:pgMar w:left="240" w:top="402" w:right="47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188" w:lineRule="exact"/>
        <w:rPr>
          <w:sz w:val="20"/>
          <w:szCs w:val="20"/>
          <w:color w:val="auto"/>
        </w:rPr>
      </w:pPr>
    </w:p>
    <w:p>
      <w:pPr>
        <w:ind w:right="80" w:firstLine="210"/>
        <w:spacing w:after="0" w:line="271" w:lineRule="auto"/>
        <w:rPr>
          <w:sz w:val="20"/>
          <w:szCs w:val="20"/>
          <w:color w:val="auto"/>
        </w:rPr>
      </w:pPr>
      <w:r>
        <w:rPr>
          <w:rFonts w:ascii="Arial" w:cs="Arial" w:eastAsia="Arial" w:hAnsi="Arial"/>
          <w:sz w:val="16"/>
          <w:szCs w:val="16"/>
          <w:color w:val="auto"/>
        </w:rPr>
        <w:t>Each person whose signature appears below constitutes and appoints Martin M. McGlynn and George Koshy, and each of them singly,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on Form S-8 to be filed by StemCells, Inc., and to file the same, with all exhibits thereto, and other documents in connection therewith, with the Securities and Exchange Commission, granting unto said attorneys-in-fact and agents full power and authority to be done in and about the premises, as fully to all intents and purposes as he or she might or could do in person, hereby ratifying and confirming all that said attorneys-in-fact and agents, or their substitutes, may lawfully do or cause to be done by virtue hereof.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 * *</w:t>
      </w:r>
    </w:p>
    <w:p>
      <w:pPr>
        <w:spacing w:after="0" w:line="171" w:lineRule="exact"/>
        <w:rPr>
          <w:sz w:val="20"/>
          <w:szCs w:val="20"/>
          <w:color w:val="auto"/>
        </w:rPr>
      </w:pPr>
    </w:p>
    <w:p>
      <w:pPr>
        <w:ind w:right="60" w:firstLine="210"/>
        <w:spacing w:after="0" w:line="271"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20" w:type="dxa"/>
            <w:vAlign w:val="bottom"/>
          </w:tcPr>
          <w:p>
            <w:pPr>
              <w:spacing w:after="0"/>
              <w:rPr>
                <w:sz w:val="20"/>
                <w:szCs w:val="20"/>
                <w:color w:val="auto"/>
              </w:rPr>
            </w:pPr>
            <w:r>
              <w:rPr>
                <w:rFonts w:ascii="Arial" w:cs="Arial" w:eastAsia="Arial" w:hAnsi="Arial"/>
                <w:sz w:val="13"/>
                <w:szCs w:val="13"/>
                <w:b w:val="1"/>
                <w:bCs w:val="1"/>
                <w:color w:val="auto"/>
              </w:rPr>
              <w:t>Signature</w:t>
            </w:r>
          </w:p>
        </w:tc>
        <w:tc>
          <w:tcPr>
            <w:tcW w:w="1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60" w:type="dxa"/>
            <w:vAlign w:val="bottom"/>
          </w:tcPr>
          <w:p>
            <w:pPr>
              <w:ind w:left="1300"/>
              <w:spacing w:after="0"/>
              <w:rPr>
                <w:sz w:val="20"/>
                <w:szCs w:val="20"/>
                <w:color w:val="auto"/>
              </w:rPr>
            </w:pPr>
            <w:r>
              <w:rPr>
                <w:rFonts w:ascii="Arial" w:cs="Arial" w:eastAsia="Arial" w:hAnsi="Arial"/>
                <w:sz w:val="13"/>
                <w:szCs w:val="13"/>
                <w:b w:val="1"/>
                <w:bCs w:val="1"/>
                <w:color w:val="auto"/>
              </w:rPr>
              <w:t>Title</w:t>
            </w:r>
          </w:p>
        </w:tc>
        <w:tc>
          <w:tcPr>
            <w:tcW w:w="560" w:type="dxa"/>
            <w:vAlign w:val="bottom"/>
          </w:tcPr>
          <w:p>
            <w:pPr>
              <w:spacing w:after="0"/>
              <w:rPr>
                <w:sz w:val="15"/>
                <w:szCs w:val="15"/>
                <w:color w:val="auto"/>
              </w:rPr>
            </w:pPr>
          </w:p>
        </w:tc>
        <w:tc>
          <w:tcPr>
            <w:tcW w:w="1700" w:type="dxa"/>
            <w:vAlign w:val="bottom"/>
          </w:tcPr>
          <w:p>
            <w:pPr>
              <w:ind w:left="720"/>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48"/>
        </w:trPr>
        <w:tc>
          <w:tcPr>
            <w:tcW w:w="4220" w:type="dxa"/>
            <w:vAlign w:val="bottom"/>
            <w:tcBorders>
              <w:bottom w:val="single" w:sz="8" w:color="808080"/>
            </w:tcBorders>
          </w:tcPr>
          <w:p>
            <w:pPr>
              <w:spacing w:after="0"/>
              <w:rPr>
                <w:sz w:val="4"/>
                <w:szCs w:val="4"/>
                <w:color w:val="auto"/>
              </w:rPr>
            </w:pPr>
          </w:p>
        </w:tc>
        <w:tc>
          <w:tcPr>
            <w:tcW w:w="150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286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17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460"/>
        </w:trPr>
        <w:tc>
          <w:tcPr>
            <w:tcW w:w="4220" w:type="dxa"/>
            <w:vAlign w:val="bottom"/>
          </w:tcPr>
          <w:p>
            <w:pPr>
              <w:spacing w:after="0"/>
              <w:rPr>
                <w:sz w:val="20"/>
                <w:szCs w:val="20"/>
                <w:color w:val="auto"/>
              </w:rPr>
            </w:pPr>
            <w:r>
              <w:rPr>
                <w:rFonts w:ascii="Arial" w:cs="Arial" w:eastAsia="Arial" w:hAnsi="Arial"/>
                <w:sz w:val="17"/>
                <w:szCs w:val="17"/>
                <w:color w:val="auto"/>
              </w:rPr>
              <w:t>/s/ Martin M. McGlynn</w:t>
            </w: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7"/>
                <w:szCs w:val="17"/>
                <w:color w:val="auto"/>
                <w:w w:val="98"/>
              </w:rPr>
              <w:t>President, Chief Executive Officer and</w:t>
            </w:r>
          </w:p>
        </w:tc>
        <w:tc>
          <w:tcPr>
            <w:tcW w:w="2260" w:type="dxa"/>
            <w:vAlign w:val="bottom"/>
            <w:gridSpan w:val="2"/>
          </w:tcPr>
          <w:p>
            <w:pPr>
              <w:ind w:left="560"/>
              <w:spacing w:after="0"/>
              <w:rPr>
                <w:sz w:val="20"/>
                <w:szCs w:val="20"/>
                <w:color w:val="auto"/>
              </w:rPr>
            </w:pPr>
            <w:r>
              <w:rPr>
                <w:rFonts w:ascii="Arial" w:cs="Arial" w:eastAsia="Arial" w:hAnsi="Arial"/>
                <w:sz w:val="17"/>
                <w:szCs w:val="17"/>
                <w:color w:val="auto"/>
              </w:rPr>
              <w:t>July 14, 2004</w:t>
            </w:r>
          </w:p>
        </w:tc>
        <w:tc>
          <w:tcPr>
            <w:tcW w:w="0" w:type="dxa"/>
            <w:vAlign w:val="bottom"/>
          </w:tcPr>
          <w:p>
            <w:pPr>
              <w:spacing w:after="0"/>
              <w:rPr>
                <w:sz w:val="1"/>
                <w:szCs w:val="1"/>
                <w:color w:val="auto"/>
              </w:rPr>
            </w:pPr>
          </w:p>
        </w:tc>
      </w:tr>
      <w:tr>
        <w:trPr>
          <w:trHeight w:val="88"/>
        </w:trPr>
        <w:tc>
          <w:tcPr>
            <w:tcW w:w="4220" w:type="dxa"/>
            <w:vAlign w:val="bottom"/>
            <w:tcBorders>
              <w:bottom w:val="single" w:sz="8" w:color="808080"/>
            </w:tcBorders>
          </w:tcPr>
          <w:p>
            <w:pPr>
              <w:spacing w:after="0"/>
              <w:rPr>
                <w:sz w:val="7"/>
                <w:szCs w:val="7"/>
                <w:color w:val="auto"/>
              </w:rPr>
            </w:pPr>
          </w:p>
        </w:tc>
        <w:tc>
          <w:tcPr>
            <w:tcW w:w="150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2860" w:type="dxa"/>
            <w:vAlign w:val="bottom"/>
            <w:vMerge w:val="restart"/>
          </w:tcPr>
          <w:p>
            <w:pPr>
              <w:spacing w:after="0"/>
              <w:rPr>
                <w:sz w:val="20"/>
                <w:szCs w:val="20"/>
                <w:color w:val="auto"/>
              </w:rPr>
            </w:pPr>
            <w:r>
              <w:rPr>
                <w:rFonts w:ascii="Arial" w:cs="Arial" w:eastAsia="Arial" w:hAnsi="Arial"/>
                <w:sz w:val="17"/>
                <w:szCs w:val="17"/>
                <w:color w:val="auto"/>
              </w:rPr>
              <w:t>Director</w:t>
            </w:r>
          </w:p>
        </w:tc>
        <w:tc>
          <w:tcPr>
            <w:tcW w:w="5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4220" w:type="dxa"/>
            <w:vAlign w:val="bottom"/>
            <w:vMerge w:val="restart"/>
          </w:tcPr>
          <w:p>
            <w:pPr>
              <w:spacing w:after="0"/>
              <w:rPr>
                <w:sz w:val="20"/>
                <w:szCs w:val="20"/>
                <w:color w:val="auto"/>
              </w:rPr>
            </w:pPr>
            <w:r>
              <w:rPr>
                <w:rFonts w:ascii="Arial" w:cs="Arial" w:eastAsia="Arial" w:hAnsi="Arial"/>
                <w:sz w:val="17"/>
                <w:szCs w:val="17"/>
                <w:color w:val="auto"/>
              </w:rPr>
              <w:t>MARTIN M. M</w:t>
            </w:r>
            <w:r>
              <w:rPr>
                <w:rFonts w:ascii="Arial" w:cs="Arial" w:eastAsia="Arial" w:hAnsi="Arial"/>
                <w:sz w:val="14"/>
                <w:szCs w:val="14"/>
                <w:color w:val="auto"/>
              </w:rPr>
              <w:t>C</w:t>
            </w:r>
            <w:r>
              <w:rPr>
                <w:rFonts w:ascii="Arial" w:cs="Arial" w:eastAsia="Arial" w:hAnsi="Arial"/>
                <w:sz w:val="17"/>
                <w:szCs w:val="17"/>
                <w:color w:val="auto"/>
              </w:rPr>
              <w:t>GLYNN</w:t>
            </w:r>
          </w:p>
        </w:tc>
        <w:tc>
          <w:tcPr>
            <w:tcW w:w="1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422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4220" w:type="dxa"/>
            <w:vAlign w:val="bottom"/>
          </w:tcPr>
          <w:p>
            <w:pPr>
              <w:spacing w:after="0"/>
              <w:rPr>
                <w:sz w:val="20"/>
                <w:szCs w:val="20"/>
                <w:color w:val="auto"/>
              </w:rPr>
            </w:pPr>
            <w:r>
              <w:rPr>
                <w:rFonts w:ascii="Arial" w:cs="Arial" w:eastAsia="Arial" w:hAnsi="Arial"/>
                <w:sz w:val="17"/>
                <w:szCs w:val="17"/>
                <w:color w:val="auto"/>
              </w:rPr>
              <w:t>/s/ George Koshy</w:t>
            </w: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Controller and Acting Chief Financial</w:t>
            </w:r>
          </w:p>
        </w:tc>
        <w:tc>
          <w:tcPr>
            <w:tcW w:w="2260" w:type="dxa"/>
            <w:vAlign w:val="bottom"/>
            <w:gridSpan w:val="2"/>
          </w:tcPr>
          <w:p>
            <w:pPr>
              <w:ind w:left="560"/>
              <w:spacing w:after="0"/>
              <w:rPr>
                <w:sz w:val="20"/>
                <w:szCs w:val="20"/>
                <w:color w:val="auto"/>
              </w:rPr>
            </w:pPr>
            <w:r>
              <w:rPr>
                <w:rFonts w:ascii="Arial" w:cs="Arial" w:eastAsia="Arial" w:hAnsi="Arial"/>
                <w:sz w:val="17"/>
                <w:szCs w:val="17"/>
                <w:color w:val="auto"/>
              </w:rPr>
              <w:t>July 14, 2004</w:t>
            </w:r>
          </w:p>
        </w:tc>
        <w:tc>
          <w:tcPr>
            <w:tcW w:w="0" w:type="dxa"/>
            <w:vAlign w:val="bottom"/>
          </w:tcPr>
          <w:p>
            <w:pPr>
              <w:spacing w:after="0"/>
              <w:rPr>
                <w:sz w:val="1"/>
                <w:szCs w:val="1"/>
                <w:color w:val="auto"/>
              </w:rPr>
            </w:pPr>
          </w:p>
        </w:tc>
      </w:tr>
      <w:tr>
        <w:trPr>
          <w:trHeight w:val="88"/>
        </w:trPr>
        <w:tc>
          <w:tcPr>
            <w:tcW w:w="4220" w:type="dxa"/>
            <w:vAlign w:val="bottom"/>
            <w:tcBorders>
              <w:bottom w:val="single" w:sz="8" w:color="808080"/>
            </w:tcBorders>
          </w:tcPr>
          <w:p>
            <w:pPr>
              <w:spacing w:after="0"/>
              <w:rPr>
                <w:sz w:val="7"/>
                <w:szCs w:val="7"/>
                <w:color w:val="auto"/>
              </w:rPr>
            </w:pPr>
          </w:p>
        </w:tc>
        <w:tc>
          <w:tcPr>
            <w:tcW w:w="1500" w:type="dxa"/>
            <w:vAlign w:val="bottom"/>
            <w:tcBorders>
              <w:bottom w:val="single" w:sz="8" w:color="808080"/>
            </w:tcBorders>
          </w:tcPr>
          <w:p>
            <w:pPr>
              <w:spacing w:after="0"/>
              <w:rPr>
                <w:sz w:val="7"/>
                <w:szCs w:val="7"/>
                <w:color w:val="auto"/>
              </w:rPr>
            </w:pPr>
          </w:p>
        </w:tc>
        <w:tc>
          <w:tcPr>
            <w:tcW w:w="580" w:type="dxa"/>
            <w:vAlign w:val="bottom"/>
          </w:tcPr>
          <w:p>
            <w:pPr>
              <w:spacing w:after="0"/>
              <w:rPr>
                <w:sz w:val="7"/>
                <w:szCs w:val="7"/>
                <w:color w:val="auto"/>
              </w:rPr>
            </w:pPr>
          </w:p>
        </w:tc>
        <w:tc>
          <w:tcPr>
            <w:tcW w:w="2860" w:type="dxa"/>
            <w:vAlign w:val="bottom"/>
            <w:vMerge w:val="restart"/>
          </w:tcPr>
          <w:p>
            <w:pPr>
              <w:spacing w:after="0"/>
              <w:rPr>
                <w:sz w:val="20"/>
                <w:szCs w:val="20"/>
                <w:color w:val="auto"/>
              </w:rPr>
            </w:pPr>
            <w:r>
              <w:rPr>
                <w:rFonts w:ascii="Arial" w:cs="Arial" w:eastAsia="Arial" w:hAnsi="Arial"/>
                <w:sz w:val="17"/>
                <w:szCs w:val="17"/>
                <w:color w:val="auto"/>
              </w:rPr>
              <w:t>Officer</w:t>
            </w:r>
          </w:p>
        </w:tc>
        <w:tc>
          <w:tcPr>
            <w:tcW w:w="5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4220" w:type="dxa"/>
            <w:vAlign w:val="bottom"/>
            <w:vMerge w:val="restart"/>
          </w:tcPr>
          <w:p>
            <w:pPr>
              <w:spacing w:after="0"/>
              <w:rPr>
                <w:sz w:val="20"/>
                <w:szCs w:val="20"/>
                <w:color w:val="auto"/>
              </w:rPr>
            </w:pPr>
            <w:r>
              <w:rPr>
                <w:rFonts w:ascii="Arial" w:cs="Arial" w:eastAsia="Arial" w:hAnsi="Arial"/>
                <w:sz w:val="17"/>
                <w:szCs w:val="17"/>
                <w:color w:val="auto"/>
              </w:rPr>
              <w:t>GEORGE KOSHY</w:t>
            </w:r>
          </w:p>
        </w:tc>
        <w:tc>
          <w:tcPr>
            <w:tcW w:w="1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422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4220" w:type="dxa"/>
            <w:vAlign w:val="bottom"/>
          </w:tcPr>
          <w:p>
            <w:pPr>
              <w:spacing w:after="0"/>
              <w:rPr>
                <w:sz w:val="20"/>
                <w:szCs w:val="20"/>
                <w:color w:val="auto"/>
              </w:rPr>
            </w:pPr>
            <w:r>
              <w:rPr>
                <w:rFonts w:ascii="Arial" w:cs="Arial" w:eastAsia="Arial" w:hAnsi="Arial"/>
                <w:sz w:val="17"/>
                <w:szCs w:val="17"/>
                <w:color w:val="auto"/>
              </w:rPr>
              <w:t>/s/ John J. Schwartz</w:t>
            </w: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Chairman</w:t>
            </w:r>
          </w:p>
        </w:tc>
        <w:tc>
          <w:tcPr>
            <w:tcW w:w="2260" w:type="dxa"/>
            <w:vAlign w:val="bottom"/>
            <w:gridSpan w:val="2"/>
          </w:tcPr>
          <w:p>
            <w:pPr>
              <w:ind w:left="560"/>
              <w:spacing w:after="0"/>
              <w:rPr>
                <w:sz w:val="20"/>
                <w:szCs w:val="20"/>
                <w:color w:val="auto"/>
              </w:rPr>
            </w:pPr>
            <w:r>
              <w:rPr>
                <w:rFonts w:ascii="Arial" w:cs="Arial" w:eastAsia="Arial" w:hAnsi="Arial"/>
                <w:sz w:val="17"/>
                <w:szCs w:val="17"/>
                <w:color w:val="auto"/>
              </w:rPr>
              <w:t>July 14, 2004</w:t>
            </w:r>
          </w:p>
        </w:tc>
        <w:tc>
          <w:tcPr>
            <w:tcW w:w="0" w:type="dxa"/>
            <w:vAlign w:val="bottom"/>
          </w:tcPr>
          <w:p>
            <w:pPr>
              <w:spacing w:after="0"/>
              <w:rPr>
                <w:sz w:val="1"/>
                <w:szCs w:val="1"/>
                <w:color w:val="auto"/>
              </w:rPr>
            </w:pPr>
          </w:p>
        </w:tc>
      </w:tr>
      <w:tr>
        <w:trPr>
          <w:trHeight w:val="76"/>
        </w:trPr>
        <w:tc>
          <w:tcPr>
            <w:tcW w:w="4220" w:type="dxa"/>
            <w:vAlign w:val="bottom"/>
            <w:tcBorders>
              <w:bottom w:val="single" w:sz="8" w:color="808080"/>
            </w:tcBorders>
          </w:tcPr>
          <w:p>
            <w:pPr>
              <w:spacing w:after="0"/>
              <w:rPr>
                <w:sz w:val="6"/>
                <w:szCs w:val="6"/>
                <w:color w:val="auto"/>
              </w:rPr>
            </w:pPr>
          </w:p>
        </w:tc>
        <w:tc>
          <w:tcPr>
            <w:tcW w:w="1500" w:type="dxa"/>
            <w:vAlign w:val="bottom"/>
            <w:tcBorders>
              <w:bottom w:val="single" w:sz="8" w:color="808080"/>
            </w:tcBorders>
          </w:tcPr>
          <w:p>
            <w:pPr>
              <w:spacing w:after="0"/>
              <w:rPr>
                <w:sz w:val="6"/>
                <w:szCs w:val="6"/>
                <w:color w:val="auto"/>
              </w:rPr>
            </w:pPr>
          </w:p>
        </w:tc>
        <w:tc>
          <w:tcPr>
            <w:tcW w:w="5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4220" w:type="dxa"/>
            <w:vAlign w:val="bottom"/>
          </w:tcPr>
          <w:p>
            <w:pPr>
              <w:spacing w:after="0"/>
              <w:rPr>
                <w:sz w:val="20"/>
                <w:szCs w:val="20"/>
                <w:color w:val="auto"/>
              </w:rPr>
            </w:pPr>
            <w:r>
              <w:rPr>
                <w:rFonts w:ascii="Arial" w:cs="Arial" w:eastAsia="Arial" w:hAnsi="Arial"/>
                <w:sz w:val="17"/>
                <w:szCs w:val="17"/>
                <w:color w:val="auto"/>
              </w:rPr>
              <w:t>JOHN J. SCHWARTZ, P</w:t>
            </w:r>
            <w:r>
              <w:rPr>
                <w:rFonts w:ascii="Arial" w:cs="Arial" w:eastAsia="Arial" w:hAnsi="Arial"/>
                <w:sz w:val="14"/>
                <w:szCs w:val="14"/>
                <w:color w:val="auto"/>
              </w:rPr>
              <w:t>H</w:t>
            </w:r>
            <w:r>
              <w:rPr>
                <w:rFonts w:ascii="Arial" w:cs="Arial" w:eastAsia="Arial" w:hAnsi="Arial"/>
                <w:sz w:val="17"/>
                <w:szCs w:val="17"/>
                <w:color w:val="auto"/>
              </w:rPr>
              <w:t>.D</w:t>
            </w: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4220" w:type="dxa"/>
            <w:vAlign w:val="bottom"/>
          </w:tcPr>
          <w:p>
            <w:pPr>
              <w:spacing w:after="0"/>
              <w:rPr>
                <w:sz w:val="20"/>
                <w:szCs w:val="20"/>
                <w:color w:val="auto"/>
              </w:rPr>
            </w:pPr>
            <w:r>
              <w:rPr>
                <w:rFonts w:ascii="Arial" w:cs="Arial" w:eastAsia="Arial" w:hAnsi="Arial"/>
                <w:sz w:val="17"/>
                <w:szCs w:val="17"/>
                <w:color w:val="auto"/>
              </w:rPr>
              <w:t>/s/ Eric H. Bjerkholt</w:t>
            </w: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Director</w:t>
            </w:r>
          </w:p>
        </w:tc>
        <w:tc>
          <w:tcPr>
            <w:tcW w:w="2260" w:type="dxa"/>
            <w:vAlign w:val="bottom"/>
            <w:gridSpan w:val="2"/>
          </w:tcPr>
          <w:p>
            <w:pPr>
              <w:ind w:left="560"/>
              <w:spacing w:after="0"/>
              <w:rPr>
                <w:sz w:val="20"/>
                <w:szCs w:val="20"/>
                <w:color w:val="auto"/>
              </w:rPr>
            </w:pPr>
            <w:r>
              <w:rPr>
                <w:rFonts w:ascii="Arial" w:cs="Arial" w:eastAsia="Arial" w:hAnsi="Arial"/>
                <w:sz w:val="17"/>
                <w:szCs w:val="17"/>
                <w:color w:val="auto"/>
              </w:rPr>
              <w:t>July 14, 2004</w:t>
            </w:r>
          </w:p>
        </w:tc>
        <w:tc>
          <w:tcPr>
            <w:tcW w:w="0" w:type="dxa"/>
            <w:vAlign w:val="bottom"/>
          </w:tcPr>
          <w:p>
            <w:pPr>
              <w:spacing w:after="0"/>
              <w:rPr>
                <w:sz w:val="1"/>
                <w:szCs w:val="1"/>
                <w:color w:val="auto"/>
              </w:rPr>
            </w:pPr>
          </w:p>
        </w:tc>
      </w:tr>
      <w:tr>
        <w:trPr>
          <w:trHeight w:val="76"/>
        </w:trPr>
        <w:tc>
          <w:tcPr>
            <w:tcW w:w="4220" w:type="dxa"/>
            <w:vAlign w:val="bottom"/>
            <w:tcBorders>
              <w:bottom w:val="single" w:sz="8" w:color="808080"/>
            </w:tcBorders>
          </w:tcPr>
          <w:p>
            <w:pPr>
              <w:spacing w:after="0"/>
              <w:rPr>
                <w:sz w:val="6"/>
                <w:szCs w:val="6"/>
                <w:color w:val="auto"/>
              </w:rPr>
            </w:pPr>
          </w:p>
        </w:tc>
        <w:tc>
          <w:tcPr>
            <w:tcW w:w="1500" w:type="dxa"/>
            <w:vAlign w:val="bottom"/>
            <w:tcBorders>
              <w:bottom w:val="single" w:sz="8" w:color="808080"/>
            </w:tcBorders>
          </w:tcPr>
          <w:p>
            <w:pPr>
              <w:spacing w:after="0"/>
              <w:rPr>
                <w:sz w:val="6"/>
                <w:szCs w:val="6"/>
                <w:color w:val="auto"/>
              </w:rPr>
            </w:pPr>
          </w:p>
        </w:tc>
        <w:tc>
          <w:tcPr>
            <w:tcW w:w="5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4220" w:type="dxa"/>
            <w:vAlign w:val="bottom"/>
          </w:tcPr>
          <w:p>
            <w:pPr>
              <w:spacing w:after="0"/>
              <w:rPr>
                <w:sz w:val="20"/>
                <w:szCs w:val="20"/>
                <w:color w:val="auto"/>
              </w:rPr>
            </w:pPr>
            <w:r>
              <w:rPr>
                <w:rFonts w:ascii="Arial" w:cs="Arial" w:eastAsia="Arial" w:hAnsi="Arial"/>
                <w:sz w:val="17"/>
                <w:szCs w:val="17"/>
                <w:color w:val="auto"/>
              </w:rPr>
              <w:t>ERIC H. BJERKHOLT, M.B.A.</w:t>
            </w: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4220" w:type="dxa"/>
            <w:vAlign w:val="bottom"/>
          </w:tcPr>
          <w:p>
            <w:pPr>
              <w:spacing w:after="0"/>
              <w:rPr>
                <w:sz w:val="20"/>
                <w:szCs w:val="20"/>
                <w:color w:val="auto"/>
              </w:rPr>
            </w:pPr>
            <w:r>
              <w:rPr>
                <w:rFonts w:ascii="Arial" w:cs="Arial" w:eastAsia="Arial" w:hAnsi="Arial"/>
                <w:sz w:val="17"/>
                <w:szCs w:val="17"/>
                <w:color w:val="auto"/>
              </w:rPr>
              <w:t>/s/ Ricardo B. Levy</w:t>
            </w: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Director</w:t>
            </w:r>
          </w:p>
        </w:tc>
        <w:tc>
          <w:tcPr>
            <w:tcW w:w="2260" w:type="dxa"/>
            <w:vAlign w:val="bottom"/>
            <w:gridSpan w:val="2"/>
          </w:tcPr>
          <w:p>
            <w:pPr>
              <w:ind w:left="560"/>
              <w:spacing w:after="0"/>
              <w:rPr>
                <w:sz w:val="20"/>
                <w:szCs w:val="20"/>
                <w:color w:val="auto"/>
              </w:rPr>
            </w:pPr>
            <w:r>
              <w:rPr>
                <w:rFonts w:ascii="Arial" w:cs="Arial" w:eastAsia="Arial" w:hAnsi="Arial"/>
                <w:sz w:val="17"/>
                <w:szCs w:val="17"/>
                <w:color w:val="auto"/>
              </w:rPr>
              <w:t>July 14, 2004</w:t>
            </w:r>
          </w:p>
        </w:tc>
        <w:tc>
          <w:tcPr>
            <w:tcW w:w="0" w:type="dxa"/>
            <w:vAlign w:val="bottom"/>
          </w:tcPr>
          <w:p>
            <w:pPr>
              <w:spacing w:after="0"/>
              <w:rPr>
                <w:sz w:val="1"/>
                <w:szCs w:val="1"/>
                <w:color w:val="auto"/>
              </w:rPr>
            </w:pPr>
          </w:p>
        </w:tc>
      </w:tr>
      <w:tr>
        <w:trPr>
          <w:trHeight w:val="76"/>
        </w:trPr>
        <w:tc>
          <w:tcPr>
            <w:tcW w:w="4220" w:type="dxa"/>
            <w:vAlign w:val="bottom"/>
            <w:tcBorders>
              <w:bottom w:val="single" w:sz="8" w:color="808080"/>
            </w:tcBorders>
          </w:tcPr>
          <w:p>
            <w:pPr>
              <w:spacing w:after="0"/>
              <w:rPr>
                <w:sz w:val="6"/>
                <w:szCs w:val="6"/>
                <w:color w:val="auto"/>
              </w:rPr>
            </w:pPr>
          </w:p>
        </w:tc>
        <w:tc>
          <w:tcPr>
            <w:tcW w:w="1500" w:type="dxa"/>
            <w:vAlign w:val="bottom"/>
            <w:tcBorders>
              <w:bottom w:val="single" w:sz="8" w:color="808080"/>
            </w:tcBorders>
          </w:tcPr>
          <w:p>
            <w:pPr>
              <w:spacing w:after="0"/>
              <w:rPr>
                <w:sz w:val="6"/>
                <w:szCs w:val="6"/>
                <w:color w:val="auto"/>
              </w:rPr>
            </w:pPr>
          </w:p>
        </w:tc>
        <w:tc>
          <w:tcPr>
            <w:tcW w:w="5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4220" w:type="dxa"/>
            <w:vAlign w:val="bottom"/>
          </w:tcPr>
          <w:p>
            <w:pPr>
              <w:spacing w:after="0"/>
              <w:rPr>
                <w:sz w:val="20"/>
                <w:szCs w:val="20"/>
                <w:color w:val="auto"/>
              </w:rPr>
            </w:pPr>
            <w:r>
              <w:rPr>
                <w:rFonts w:ascii="Arial" w:cs="Arial" w:eastAsia="Arial" w:hAnsi="Arial"/>
                <w:sz w:val="17"/>
                <w:szCs w:val="17"/>
                <w:color w:val="auto"/>
              </w:rPr>
              <w:t>RICARDO B. LEVY, P</w:t>
            </w:r>
            <w:r>
              <w:rPr>
                <w:rFonts w:ascii="Arial" w:cs="Arial" w:eastAsia="Arial" w:hAnsi="Arial"/>
                <w:sz w:val="14"/>
                <w:szCs w:val="14"/>
                <w:color w:val="auto"/>
              </w:rPr>
              <w:t>H.</w:t>
            </w:r>
            <w:r>
              <w:rPr>
                <w:rFonts w:ascii="Arial" w:cs="Arial" w:eastAsia="Arial" w:hAnsi="Arial"/>
                <w:sz w:val="17"/>
                <w:szCs w:val="17"/>
                <w:color w:val="auto"/>
              </w:rPr>
              <w:t>D.</w:t>
            </w: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4220" w:type="dxa"/>
            <w:vAlign w:val="bottom"/>
          </w:tcPr>
          <w:p>
            <w:pPr>
              <w:spacing w:after="0"/>
              <w:rPr>
                <w:sz w:val="20"/>
                <w:szCs w:val="20"/>
                <w:color w:val="auto"/>
              </w:rPr>
            </w:pPr>
            <w:r>
              <w:rPr>
                <w:rFonts w:ascii="Arial" w:cs="Arial" w:eastAsia="Arial" w:hAnsi="Arial"/>
                <w:sz w:val="17"/>
                <w:szCs w:val="17"/>
                <w:color w:val="auto"/>
              </w:rPr>
              <w:t>/s/ Roger M. Perlmutter</w:t>
            </w: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Director</w:t>
            </w:r>
          </w:p>
        </w:tc>
        <w:tc>
          <w:tcPr>
            <w:tcW w:w="2260" w:type="dxa"/>
            <w:vAlign w:val="bottom"/>
            <w:gridSpan w:val="2"/>
          </w:tcPr>
          <w:p>
            <w:pPr>
              <w:ind w:left="560"/>
              <w:spacing w:after="0"/>
              <w:rPr>
                <w:sz w:val="20"/>
                <w:szCs w:val="20"/>
                <w:color w:val="auto"/>
              </w:rPr>
            </w:pPr>
            <w:r>
              <w:rPr>
                <w:rFonts w:ascii="Arial" w:cs="Arial" w:eastAsia="Arial" w:hAnsi="Arial"/>
                <w:sz w:val="17"/>
                <w:szCs w:val="17"/>
                <w:color w:val="auto"/>
              </w:rPr>
              <w:t>July 14, 2004</w:t>
            </w:r>
          </w:p>
        </w:tc>
        <w:tc>
          <w:tcPr>
            <w:tcW w:w="0" w:type="dxa"/>
            <w:vAlign w:val="bottom"/>
          </w:tcPr>
          <w:p>
            <w:pPr>
              <w:spacing w:after="0"/>
              <w:rPr>
                <w:sz w:val="1"/>
                <w:szCs w:val="1"/>
                <w:color w:val="auto"/>
              </w:rPr>
            </w:pPr>
          </w:p>
        </w:tc>
      </w:tr>
      <w:tr>
        <w:trPr>
          <w:trHeight w:val="76"/>
        </w:trPr>
        <w:tc>
          <w:tcPr>
            <w:tcW w:w="4220" w:type="dxa"/>
            <w:vAlign w:val="bottom"/>
            <w:tcBorders>
              <w:bottom w:val="single" w:sz="8" w:color="808080"/>
            </w:tcBorders>
          </w:tcPr>
          <w:p>
            <w:pPr>
              <w:spacing w:after="0"/>
              <w:rPr>
                <w:sz w:val="6"/>
                <w:szCs w:val="6"/>
                <w:color w:val="auto"/>
              </w:rPr>
            </w:pPr>
          </w:p>
        </w:tc>
        <w:tc>
          <w:tcPr>
            <w:tcW w:w="1500" w:type="dxa"/>
            <w:vAlign w:val="bottom"/>
            <w:tcBorders>
              <w:bottom w:val="single" w:sz="8" w:color="808080"/>
            </w:tcBorders>
          </w:tcPr>
          <w:p>
            <w:pPr>
              <w:spacing w:after="0"/>
              <w:rPr>
                <w:sz w:val="6"/>
                <w:szCs w:val="6"/>
                <w:color w:val="auto"/>
              </w:rPr>
            </w:pPr>
          </w:p>
        </w:tc>
        <w:tc>
          <w:tcPr>
            <w:tcW w:w="5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4220" w:type="dxa"/>
            <w:vAlign w:val="bottom"/>
          </w:tcPr>
          <w:p>
            <w:pPr>
              <w:spacing w:after="0"/>
              <w:rPr>
                <w:sz w:val="20"/>
                <w:szCs w:val="20"/>
                <w:color w:val="auto"/>
              </w:rPr>
            </w:pPr>
            <w:r>
              <w:rPr>
                <w:rFonts w:ascii="Arial" w:cs="Arial" w:eastAsia="Arial" w:hAnsi="Arial"/>
                <w:sz w:val="17"/>
                <w:szCs w:val="17"/>
                <w:color w:val="auto"/>
              </w:rPr>
              <w:t>ROGER M. PERLMUTTER, M.D., P</w:t>
            </w:r>
            <w:r>
              <w:rPr>
                <w:rFonts w:ascii="Arial" w:cs="Arial" w:eastAsia="Arial" w:hAnsi="Arial"/>
                <w:sz w:val="14"/>
                <w:szCs w:val="14"/>
                <w:color w:val="auto"/>
              </w:rPr>
              <w:t>H.</w:t>
            </w:r>
            <w:r>
              <w:rPr>
                <w:rFonts w:ascii="Arial" w:cs="Arial" w:eastAsia="Arial" w:hAnsi="Arial"/>
                <w:sz w:val="17"/>
                <w:szCs w:val="17"/>
                <w:color w:val="auto"/>
              </w:rPr>
              <w:t>D.</w:t>
            </w: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4220" w:type="dxa"/>
            <w:vAlign w:val="bottom"/>
          </w:tcPr>
          <w:p>
            <w:pPr>
              <w:spacing w:after="0"/>
              <w:rPr>
                <w:sz w:val="20"/>
                <w:szCs w:val="20"/>
                <w:color w:val="auto"/>
              </w:rPr>
            </w:pPr>
            <w:r>
              <w:rPr>
                <w:rFonts w:ascii="Arial" w:cs="Arial" w:eastAsia="Arial" w:hAnsi="Arial"/>
                <w:sz w:val="17"/>
                <w:szCs w:val="17"/>
                <w:color w:val="auto"/>
              </w:rPr>
              <w:t>/s/ Irving L. Weissman</w:t>
            </w: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Director</w:t>
            </w:r>
          </w:p>
        </w:tc>
        <w:tc>
          <w:tcPr>
            <w:tcW w:w="2260" w:type="dxa"/>
            <w:vAlign w:val="bottom"/>
            <w:gridSpan w:val="2"/>
          </w:tcPr>
          <w:p>
            <w:pPr>
              <w:ind w:left="560"/>
              <w:spacing w:after="0"/>
              <w:rPr>
                <w:sz w:val="20"/>
                <w:szCs w:val="20"/>
                <w:color w:val="auto"/>
              </w:rPr>
            </w:pPr>
            <w:r>
              <w:rPr>
                <w:rFonts w:ascii="Arial" w:cs="Arial" w:eastAsia="Arial" w:hAnsi="Arial"/>
                <w:sz w:val="17"/>
                <w:szCs w:val="17"/>
                <w:color w:val="auto"/>
              </w:rPr>
              <w:t>July 14, 2004</w:t>
            </w:r>
          </w:p>
        </w:tc>
        <w:tc>
          <w:tcPr>
            <w:tcW w:w="0" w:type="dxa"/>
            <w:vAlign w:val="bottom"/>
          </w:tcPr>
          <w:p>
            <w:pPr>
              <w:spacing w:after="0"/>
              <w:rPr>
                <w:sz w:val="1"/>
                <w:szCs w:val="1"/>
                <w:color w:val="auto"/>
              </w:rPr>
            </w:pPr>
          </w:p>
        </w:tc>
      </w:tr>
      <w:tr>
        <w:trPr>
          <w:trHeight w:val="76"/>
        </w:trPr>
        <w:tc>
          <w:tcPr>
            <w:tcW w:w="4220" w:type="dxa"/>
            <w:vAlign w:val="bottom"/>
            <w:tcBorders>
              <w:bottom w:val="single" w:sz="8" w:color="808080"/>
            </w:tcBorders>
          </w:tcPr>
          <w:p>
            <w:pPr>
              <w:spacing w:after="0"/>
              <w:rPr>
                <w:sz w:val="6"/>
                <w:szCs w:val="6"/>
                <w:color w:val="auto"/>
              </w:rPr>
            </w:pPr>
          </w:p>
        </w:tc>
        <w:tc>
          <w:tcPr>
            <w:tcW w:w="1500" w:type="dxa"/>
            <w:vAlign w:val="bottom"/>
            <w:tcBorders>
              <w:bottom w:val="single" w:sz="8" w:color="808080"/>
            </w:tcBorders>
          </w:tcPr>
          <w:p>
            <w:pPr>
              <w:spacing w:after="0"/>
              <w:rPr>
                <w:sz w:val="6"/>
                <w:szCs w:val="6"/>
                <w:color w:val="auto"/>
              </w:rPr>
            </w:pPr>
          </w:p>
        </w:tc>
        <w:tc>
          <w:tcPr>
            <w:tcW w:w="5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4220" w:type="dxa"/>
            <w:vAlign w:val="bottom"/>
          </w:tcPr>
          <w:p>
            <w:pPr>
              <w:spacing w:after="0"/>
              <w:rPr>
                <w:sz w:val="20"/>
                <w:szCs w:val="20"/>
                <w:color w:val="auto"/>
              </w:rPr>
            </w:pPr>
            <w:r>
              <w:rPr>
                <w:rFonts w:ascii="Arial" w:cs="Arial" w:eastAsia="Arial" w:hAnsi="Arial"/>
                <w:sz w:val="17"/>
                <w:szCs w:val="17"/>
                <w:color w:val="auto"/>
              </w:rPr>
              <w:t>IRVING L. WEISSMAN, M.D.</w:t>
            </w: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220" w:type="dxa"/>
            <w:vAlign w:val="bottom"/>
          </w:tcPr>
          <w:p>
            <w:pPr>
              <w:spacing w:after="0"/>
              <w:rPr>
                <w:sz w:val="24"/>
                <w:szCs w:val="24"/>
                <w:color w:val="auto"/>
              </w:rPr>
            </w:pPr>
          </w:p>
        </w:tc>
        <w:tc>
          <w:tcPr>
            <w:tcW w:w="4940" w:type="dxa"/>
            <w:vAlign w:val="bottom"/>
            <w:gridSpan w:val="3"/>
          </w:tcPr>
          <w:p>
            <w:pPr>
              <w:ind w:left="1360"/>
              <w:spacing w:after="0"/>
              <w:rPr>
                <w:sz w:val="20"/>
                <w:szCs w:val="20"/>
                <w:color w:val="auto"/>
              </w:rPr>
            </w:pPr>
            <w:r>
              <w:rPr>
                <w:rFonts w:ascii="Arial" w:cs="Arial" w:eastAsia="Arial" w:hAnsi="Arial"/>
                <w:sz w:val="17"/>
                <w:szCs w:val="17"/>
                <w:color w:val="auto"/>
              </w:rPr>
              <w:t>II-5</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22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286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920" w:type="dxa"/>
            <w:vAlign w:val="bottom"/>
          </w:tcPr>
          <w:p>
            <w:pPr>
              <w:ind w:left="3600"/>
              <w:spacing w:after="0"/>
              <w:rPr>
                <w:sz w:val="20"/>
                <w:szCs w:val="20"/>
                <w:color w:val="auto"/>
              </w:rPr>
            </w:pPr>
            <w:r>
              <w:rPr>
                <w:rFonts w:ascii="Arial" w:cs="Arial" w:eastAsia="Arial" w:hAnsi="Arial"/>
                <w:sz w:val="17"/>
                <w:szCs w:val="17"/>
                <w:color w:val="auto"/>
              </w:rPr>
              <w:t>EXHIBIT INDEX</w:t>
            </w:r>
          </w:p>
        </w:tc>
        <w:tc>
          <w:tcPr>
            <w:tcW w:w="0" w:type="dxa"/>
            <w:vAlign w:val="bottom"/>
          </w:tcPr>
          <w:p>
            <w:pPr>
              <w:spacing w:after="0"/>
              <w:rPr>
                <w:sz w:val="1"/>
                <w:szCs w:val="1"/>
                <w:color w:val="auto"/>
              </w:rPr>
            </w:pPr>
          </w:p>
        </w:tc>
      </w:tr>
      <w:tr>
        <w:trPr>
          <w:trHeight w:val="498"/>
        </w:trPr>
        <w:tc>
          <w:tcPr>
            <w:tcW w:w="92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580" w:type="dxa"/>
            <w:vAlign w:val="bottom"/>
          </w:tcPr>
          <w:p>
            <w:pPr>
              <w:spacing w:after="0"/>
              <w:rPr>
                <w:sz w:val="24"/>
                <w:szCs w:val="24"/>
                <w:color w:val="auto"/>
              </w:rPr>
            </w:pPr>
          </w:p>
        </w:tc>
        <w:tc>
          <w:tcPr>
            <w:tcW w:w="9920" w:type="dxa"/>
            <w:vAlign w:val="bottom"/>
            <w:vMerge w:val="restart"/>
          </w:tcPr>
          <w:p>
            <w:pPr>
              <w:ind w:left="4520"/>
              <w:spacing w:after="0"/>
              <w:rPr>
                <w:sz w:val="20"/>
                <w:szCs w:val="20"/>
                <w:color w:val="auto"/>
              </w:rPr>
            </w:pPr>
            <w:r>
              <w:rPr>
                <w:rFonts w:ascii="Arial" w:cs="Arial" w:eastAsia="Arial" w:hAnsi="Arial"/>
                <w:sz w:val="13"/>
                <w:szCs w:val="13"/>
                <w:b w:val="1"/>
                <w:bCs w:val="1"/>
                <w:color w:val="auto"/>
              </w:rPr>
              <w:t>Title of Exhibit</w:t>
            </w:r>
          </w:p>
        </w:tc>
        <w:tc>
          <w:tcPr>
            <w:tcW w:w="0" w:type="dxa"/>
            <w:vAlign w:val="bottom"/>
          </w:tcPr>
          <w:p>
            <w:pPr>
              <w:spacing w:after="0"/>
              <w:rPr>
                <w:sz w:val="1"/>
                <w:szCs w:val="1"/>
                <w:color w:val="auto"/>
              </w:rPr>
            </w:pPr>
          </w:p>
        </w:tc>
      </w:tr>
      <w:tr>
        <w:trPr>
          <w:trHeight w:val="174"/>
        </w:trPr>
        <w:tc>
          <w:tcPr>
            <w:tcW w:w="920" w:type="dxa"/>
            <w:vAlign w:val="bottom"/>
          </w:tcPr>
          <w:p>
            <w:pPr>
              <w:spacing w:after="0"/>
              <w:rPr>
                <w:sz w:val="20"/>
                <w:szCs w:val="20"/>
                <w:color w:val="auto"/>
              </w:rPr>
            </w:pPr>
            <w:r>
              <w:rPr>
                <w:rFonts w:ascii="Arial" w:cs="Arial" w:eastAsia="Arial" w:hAnsi="Arial"/>
                <w:sz w:val="13"/>
                <w:szCs w:val="13"/>
                <w:b w:val="1"/>
                <w:bCs w:val="1"/>
                <w:color w:val="auto"/>
              </w:rPr>
              <w:t>No.</w:t>
            </w:r>
          </w:p>
        </w:tc>
        <w:tc>
          <w:tcPr>
            <w:tcW w:w="580" w:type="dxa"/>
            <w:vAlign w:val="bottom"/>
          </w:tcPr>
          <w:p>
            <w:pPr>
              <w:spacing w:after="0"/>
              <w:rPr>
                <w:sz w:val="15"/>
                <w:szCs w:val="15"/>
                <w:color w:val="auto"/>
              </w:rPr>
            </w:pPr>
          </w:p>
        </w:tc>
        <w:tc>
          <w:tcPr>
            <w:tcW w:w="9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2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99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0"/>
                <w:szCs w:val="20"/>
                <w:color w:val="auto"/>
              </w:rPr>
            </w:pPr>
            <w:r>
              <w:rPr>
                <w:rFonts w:ascii="Arial" w:cs="Arial" w:eastAsia="Arial" w:hAnsi="Arial"/>
                <w:sz w:val="17"/>
                <w:szCs w:val="17"/>
                <w:color w:val="auto"/>
              </w:rPr>
              <w:t>4.1</w:t>
            </w:r>
          </w:p>
        </w:tc>
        <w:tc>
          <w:tcPr>
            <w:tcW w:w="580" w:type="dxa"/>
            <w:vAlign w:val="bottom"/>
          </w:tcPr>
          <w:p>
            <w:pPr>
              <w:spacing w:after="0"/>
              <w:rPr>
                <w:sz w:val="23"/>
                <w:szCs w:val="23"/>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Specimen Common Stock Certificate (1)</w:t>
            </w:r>
          </w:p>
        </w:tc>
        <w:tc>
          <w:tcPr>
            <w:tcW w:w="0" w:type="dxa"/>
            <w:vAlign w:val="bottom"/>
          </w:tcPr>
          <w:p>
            <w:pPr>
              <w:spacing w:after="0"/>
              <w:rPr>
                <w:sz w:val="1"/>
                <w:szCs w:val="1"/>
                <w:color w:val="auto"/>
              </w:rPr>
            </w:pPr>
          </w:p>
        </w:tc>
      </w:tr>
      <w:tr>
        <w:trPr>
          <w:trHeight w:val="404"/>
        </w:trPr>
        <w:tc>
          <w:tcPr>
            <w:tcW w:w="920" w:type="dxa"/>
            <w:vAlign w:val="bottom"/>
          </w:tcPr>
          <w:p>
            <w:pPr>
              <w:spacing w:after="0"/>
              <w:rPr>
                <w:sz w:val="20"/>
                <w:szCs w:val="20"/>
                <w:color w:val="auto"/>
              </w:rPr>
            </w:pPr>
            <w:r>
              <w:rPr>
                <w:rFonts w:ascii="Arial" w:cs="Arial" w:eastAsia="Arial" w:hAnsi="Arial"/>
                <w:sz w:val="17"/>
                <w:szCs w:val="17"/>
                <w:color w:val="auto"/>
              </w:rPr>
              <w:t>5.1</w:t>
            </w:r>
          </w:p>
        </w:tc>
        <w:tc>
          <w:tcPr>
            <w:tcW w:w="5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Opinion of Ropes &amp; Gray LLP (1)</w:t>
            </w:r>
          </w:p>
        </w:tc>
        <w:tc>
          <w:tcPr>
            <w:tcW w:w="0" w:type="dxa"/>
            <w:vAlign w:val="bottom"/>
          </w:tcPr>
          <w:p>
            <w:pPr>
              <w:spacing w:after="0"/>
              <w:rPr>
                <w:sz w:val="1"/>
                <w:szCs w:val="1"/>
                <w:color w:val="auto"/>
              </w:rPr>
            </w:pPr>
          </w:p>
        </w:tc>
      </w:tr>
      <w:tr>
        <w:trPr>
          <w:trHeight w:val="393"/>
        </w:trPr>
        <w:tc>
          <w:tcPr>
            <w:tcW w:w="920" w:type="dxa"/>
            <w:vAlign w:val="bottom"/>
          </w:tcPr>
          <w:p>
            <w:pPr>
              <w:spacing w:after="0"/>
              <w:rPr>
                <w:sz w:val="20"/>
                <w:szCs w:val="20"/>
                <w:color w:val="auto"/>
              </w:rPr>
            </w:pPr>
            <w:r>
              <w:rPr>
                <w:rFonts w:ascii="Arial" w:cs="Arial" w:eastAsia="Arial" w:hAnsi="Arial"/>
                <w:sz w:val="17"/>
                <w:szCs w:val="17"/>
                <w:color w:val="auto"/>
              </w:rPr>
              <w:t>10.1</w:t>
            </w:r>
          </w:p>
        </w:tc>
        <w:tc>
          <w:tcPr>
            <w:tcW w:w="5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w w:val="90"/>
              </w:rPr>
              <w:t>Form of Securities Purchase Agreement, dated as of June 16, 2004, by and among StemCells, Inc. and the purchasers listed on Exhibit A thereto</w:t>
            </w: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10500" w:type="dxa"/>
            <w:vAlign w:val="bottom"/>
            <w:gridSpan w:val="2"/>
          </w:tcPr>
          <w:p>
            <w:pPr>
              <w:ind w:left="5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404"/>
        </w:trPr>
        <w:tc>
          <w:tcPr>
            <w:tcW w:w="920" w:type="dxa"/>
            <w:vAlign w:val="bottom"/>
          </w:tcPr>
          <w:p>
            <w:pPr>
              <w:spacing w:after="0"/>
              <w:rPr>
                <w:sz w:val="20"/>
                <w:szCs w:val="20"/>
                <w:color w:val="auto"/>
              </w:rPr>
            </w:pPr>
            <w:r>
              <w:rPr>
                <w:rFonts w:ascii="Arial" w:cs="Arial" w:eastAsia="Arial" w:hAnsi="Arial"/>
                <w:sz w:val="17"/>
                <w:szCs w:val="17"/>
                <w:color w:val="auto"/>
              </w:rPr>
              <w:t>10.2</w:t>
            </w:r>
          </w:p>
        </w:tc>
        <w:tc>
          <w:tcPr>
            <w:tcW w:w="5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Form of Warrant (2)</w:t>
            </w:r>
          </w:p>
        </w:tc>
        <w:tc>
          <w:tcPr>
            <w:tcW w:w="0" w:type="dxa"/>
            <w:vAlign w:val="bottom"/>
          </w:tcPr>
          <w:p>
            <w:pPr>
              <w:spacing w:after="0"/>
              <w:rPr>
                <w:sz w:val="1"/>
                <w:szCs w:val="1"/>
                <w:color w:val="auto"/>
              </w:rPr>
            </w:pPr>
          </w:p>
        </w:tc>
      </w:tr>
      <w:tr>
        <w:trPr>
          <w:trHeight w:val="404"/>
        </w:trPr>
        <w:tc>
          <w:tcPr>
            <w:tcW w:w="920" w:type="dxa"/>
            <w:vAlign w:val="bottom"/>
          </w:tcPr>
          <w:p>
            <w:pPr>
              <w:spacing w:after="0"/>
              <w:rPr>
                <w:sz w:val="20"/>
                <w:szCs w:val="20"/>
                <w:color w:val="auto"/>
              </w:rPr>
            </w:pPr>
            <w:r>
              <w:rPr>
                <w:rFonts w:ascii="Arial" w:cs="Arial" w:eastAsia="Arial" w:hAnsi="Arial"/>
                <w:sz w:val="17"/>
                <w:szCs w:val="17"/>
                <w:color w:val="auto"/>
              </w:rPr>
              <w:t>23.1</w:t>
            </w:r>
          </w:p>
        </w:tc>
        <w:tc>
          <w:tcPr>
            <w:tcW w:w="5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Consent of Ernst &amp; Young LLP, independent registered public accounting firm (1)</w:t>
            </w:r>
          </w:p>
        </w:tc>
        <w:tc>
          <w:tcPr>
            <w:tcW w:w="0" w:type="dxa"/>
            <w:vAlign w:val="bottom"/>
          </w:tcPr>
          <w:p>
            <w:pPr>
              <w:spacing w:after="0"/>
              <w:rPr>
                <w:sz w:val="1"/>
                <w:szCs w:val="1"/>
                <w:color w:val="auto"/>
              </w:rPr>
            </w:pPr>
          </w:p>
        </w:tc>
      </w:tr>
      <w:tr>
        <w:trPr>
          <w:trHeight w:val="404"/>
        </w:trPr>
        <w:tc>
          <w:tcPr>
            <w:tcW w:w="920" w:type="dxa"/>
            <w:vAlign w:val="bottom"/>
          </w:tcPr>
          <w:p>
            <w:pPr>
              <w:spacing w:after="0"/>
              <w:rPr>
                <w:sz w:val="20"/>
                <w:szCs w:val="20"/>
                <w:color w:val="auto"/>
              </w:rPr>
            </w:pPr>
            <w:r>
              <w:rPr>
                <w:rFonts w:ascii="Arial" w:cs="Arial" w:eastAsia="Arial" w:hAnsi="Arial"/>
                <w:sz w:val="17"/>
                <w:szCs w:val="17"/>
                <w:color w:val="auto"/>
              </w:rPr>
              <w:t>23.2</w:t>
            </w:r>
          </w:p>
        </w:tc>
        <w:tc>
          <w:tcPr>
            <w:tcW w:w="5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Consent of Grant Thornton LLP, Independent Registered Public Accountants (1)</w:t>
            </w:r>
          </w:p>
        </w:tc>
        <w:tc>
          <w:tcPr>
            <w:tcW w:w="0" w:type="dxa"/>
            <w:vAlign w:val="bottom"/>
          </w:tcPr>
          <w:p>
            <w:pPr>
              <w:spacing w:after="0"/>
              <w:rPr>
                <w:sz w:val="1"/>
                <w:szCs w:val="1"/>
                <w:color w:val="auto"/>
              </w:rPr>
            </w:pPr>
          </w:p>
        </w:tc>
      </w:tr>
      <w:tr>
        <w:trPr>
          <w:trHeight w:val="404"/>
        </w:trPr>
        <w:tc>
          <w:tcPr>
            <w:tcW w:w="920" w:type="dxa"/>
            <w:vAlign w:val="bottom"/>
          </w:tcPr>
          <w:p>
            <w:pPr>
              <w:spacing w:after="0"/>
              <w:rPr>
                <w:sz w:val="20"/>
                <w:szCs w:val="20"/>
                <w:color w:val="auto"/>
              </w:rPr>
            </w:pPr>
            <w:r>
              <w:rPr>
                <w:rFonts w:ascii="Arial" w:cs="Arial" w:eastAsia="Arial" w:hAnsi="Arial"/>
                <w:sz w:val="17"/>
                <w:szCs w:val="17"/>
                <w:color w:val="auto"/>
              </w:rPr>
              <w:t>23.3</w:t>
            </w:r>
          </w:p>
        </w:tc>
        <w:tc>
          <w:tcPr>
            <w:tcW w:w="5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Consent of Ropes &amp; Gray LLP (to be included in the opinion filed as Exhibit 5.1)</w:t>
            </w:r>
          </w:p>
        </w:tc>
        <w:tc>
          <w:tcPr>
            <w:tcW w:w="0" w:type="dxa"/>
            <w:vAlign w:val="bottom"/>
          </w:tcPr>
          <w:p>
            <w:pPr>
              <w:spacing w:after="0"/>
              <w:rPr>
                <w:sz w:val="1"/>
                <w:szCs w:val="1"/>
                <w:color w:val="auto"/>
              </w:rPr>
            </w:pPr>
          </w:p>
        </w:tc>
      </w:tr>
      <w:tr>
        <w:trPr>
          <w:trHeight w:val="404"/>
        </w:trPr>
        <w:tc>
          <w:tcPr>
            <w:tcW w:w="920" w:type="dxa"/>
            <w:vAlign w:val="bottom"/>
          </w:tcPr>
          <w:p>
            <w:pPr>
              <w:spacing w:after="0"/>
              <w:rPr>
                <w:sz w:val="20"/>
                <w:szCs w:val="20"/>
                <w:color w:val="auto"/>
              </w:rPr>
            </w:pPr>
            <w:r>
              <w:rPr>
                <w:rFonts w:ascii="Arial" w:cs="Arial" w:eastAsia="Arial" w:hAnsi="Arial"/>
                <w:sz w:val="17"/>
                <w:szCs w:val="17"/>
                <w:color w:val="auto"/>
              </w:rPr>
              <w:t>24.1</w:t>
            </w:r>
          </w:p>
        </w:tc>
        <w:tc>
          <w:tcPr>
            <w:tcW w:w="5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Power of Attorney (Included on the signature page hereto)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128905</wp:posOffset>
            </wp:positionV>
            <wp:extent cx="13239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84" w:lineRule="exact"/>
        <w:rPr>
          <w:sz w:val="20"/>
          <w:szCs w:val="20"/>
          <w:color w:val="auto"/>
        </w:rPr>
      </w:pPr>
    </w:p>
    <w:p>
      <w:pPr>
        <w:ind w:left="540" w:hanging="533"/>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08" w:lineRule="exact"/>
        <w:rPr>
          <w:rFonts w:ascii="Arial" w:cs="Arial" w:eastAsia="Arial" w:hAnsi="Arial"/>
          <w:sz w:val="17"/>
          <w:szCs w:val="17"/>
          <w:color w:val="auto"/>
        </w:rPr>
      </w:pPr>
    </w:p>
    <w:p>
      <w:pPr>
        <w:ind w:left="5580" w:right="4200" w:hanging="5573"/>
        <w:spacing w:after="0" w:line="472" w:lineRule="auto"/>
        <w:tabs>
          <w:tab w:leader="none" w:pos="524"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Incorporated by reference to our Current Report on Form 8-K filed with the SEC on June 17, 2004. II-6</w:t>
      </w:r>
    </w:p>
    <w:p>
      <w:pPr>
        <w:sectPr>
          <w:pgSz w:w="11900" w:h="16838" w:orient="portrait"/>
          <w:cols w:equalWidth="0" w:num="1">
            <w:col w:w="11420"/>
          </w:cols>
          <w:pgMar w:left="240" w:top="402" w:right="239" w:bottom="1440" w:gutter="0" w:footer="0" w:header="0"/>
        </w:sectPr>
      </w:pPr>
    </w:p>
    <w:bookmarkStart w:id="26" w:name="page27"/>
    <w:bookmarkEnd w:id="26"/>
    <w:p>
      <w:pPr>
        <w:jc w:val="right"/>
        <w:ind w:right="3640"/>
        <w:spacing w:after="0"/>
        <w:rPr>
          <w:sz w:val="20"/>
          <w:szCs w:val="20"/>
          <w:color w:val="auto"/>
        </w:rPr>
      </w:pPr>
      <w:r>
        <w:rPr>
          <w:rFonts w:ascii="Courier New" w:cs="Courier New" w:eastAsia="Courier New" w:hAnsi="Courier New"/>
          <w:sz w:val="16"/>
          <w:szCs w:val="16"/>
          <w:color w:val="auto"/>
        </w:rPr>
        <w:t>EXHIBIT 4.1</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w:t>
      </w:r>
    </w:p>
    <w:p>
      <w:pPr>
        <w:spacing w:after="0" w:line="200" w:lineRule="exact"/>
        <w:rPr>
          <w:sz w:val="20"/>
          <w:szCs w:val="20"/>
          <w:color w:val="auto"/>
        </w:rPr>
      </w:pPr>
    </w:p>
    <w:p>
      <w:pPr>
        <w:spacing w:after="0" w:line="377" w:lineRule="exact"/>
        <w:rPr>
          <w:sz w:val="20"/>
          <w:szCs w:val="20"/>
          <w:color w:val="auto"/>
        </w:rPr>
      </w:pPr>
    </w:p>
    <w:p>
      <w:pPr>
        <w:jc w:val="center"/>
        <w:ind w:left="2380"/>
        <w:spacing w:after="0"/>
        <w:rPr>
          <w:sz w:val="20"/>
          <w:szCs w:val="20"/>
          <w:color w:val="auto"/>
        </w:rPr>
      </w:pPr>
      <w:r>
        <w:rPr>
          <w:rFonts w:ascii="Courier New" w:cs="Courier New" w:eastAsia="Courier New" w:hAnsi="Courier New"/>
          <w:sz w:val="16"/>
          <w:szCs w:val="16"/>
          <w:color w:val="auto"/>
        </w:rPr>
        <w:t>COMMON STOCK</w:t>
      </w:r>
    </w:p>
    <w:p>
      <w:pPr>
        <w:spacing w:after="0" w:line="8" w:lineRule="exact"/>
        <w:rPr>
          <w:sz w:val="20"/>
          <w:szCs w:val="20"/>
          <w:color w:val="auto"/>
        </w:rPr>
      </w:pPr>
    </w:p>
    <w:p>
      <w:pPr>
        <w:jc w:val="center"/>
        <w:ind w:left="2380"/>
        <w:spacing w:after="0"/>
        <w:rPr>
          <w:sz w:val="20"/>
          <w:szCs w:val="20"/>
          <w:color w:val="auto"/>
        </w:rPr>
      </w:pPr>
      <w:r>
        <w:rPr>
          <w:rFonts w:ascii="Courier New" w:cs="Courier New" w:eastAsia="Courier New" w:hAnsi="Courier New"/>
          <w:sz w:val="16"/>
          <w:szCs w:val="16"/>
          <w:color w:val="auto"/>
        </w:rPr>
        <w:t>SHARES</w:t>
      </w:r>
    </w:p>
    <w:p>
      <w:pPr>
        <w:spacing w:after="0" w:line="198"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CUSIP 85857R 10 5</w:t>
      </w:r>
    </w:p>
    <w:p>
      <w:pPr>
        <w:spacing w:after="0" w:line="198"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STEMCELLS, INC.</w:t>
      </w:r>
    </w:p>
    <w:p>
      <w:pPr>
        <w:spacing w:after="0" w:line="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6"/>
          <w:szCs w:val="16"/>
          <w:color w:val="auto"/>
        </w:rPr>
        <w:t>INCORPORATED UNDER THE LAWS OF THE STATE OF DELAWARE</w:t>
      </w:r>
    </w:p>
    <w:p>
      <w:pPr>
        <w:spacing w:after="0" w:line="19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THIS CERTIFICATE IS TRANSFERABLE IN CANTON, MASSACHUSETTS,</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JERSEY CITY, NEW JERSEY OR NEW YORK, NEW YORK</w:t>
      </w:r>
    </w:p>
    <w:p>
      <w:pPr>
        <w:spacing w:after="0" w:line="198" w:lineRule="exact"/>
        <w:rPr>
          <w:sz w:val="20"/>
          <w:szCs w:val="20"/>
          <w:color w:val="auto"/>
        </w:rPr>
      </w:pPr>
    </w:p>
    <w:p>
      <w:pPr>
        <w:jc w:val="center"/>
        <w:ind w:left="2480"/>
        <w:spacing w:after="0"/>
        <w:rPr>
          <w:sz w:val="20"/>
          <w:szCs w:val="20"/>
          <w:color w:val="auto"/>
        </w:rPr>
      </w:pPr>
      <w:r>
        <w:rPr>
          <w:rFonts w:ascii="Courier New" w:cs="Courier New" w:eastAsia="Courier New" w:hAnsi="Courier New"/>
          <w:sz w:val="16"/>
          <w:szCs w:val="16"/>
          <w:color w:val="auto"/>
        </w:rPr>
        <w:t>SEE REVERSE FOR</w:t>
      </w:r>
    </w:p>
    <w:p>
      <w:pPr>
        <w:spacing w:after="0" w:line="8" w:lineRule="exact"/>
        <w:rPr>
          <w:sz w:val="20"/>
          <w:szCs w:val="20"/>
          <w:color w:val="auto"/>
        </w:rPr>
      </w:pPr>
    </w:p>
    <w:p>
      <w:pPr>
        <w:jc w:val="center"/>
        <w:ind w:left="2480"/>
        <w:spacing w:after="0"/>
        <w:rPr>
          <w:sz w:val="20"/>
          <w:szCs w:val="20"/>
          <w:color w:val="auto"/>
        </w:rPr>
      </w:pPr>
      <w:r>
        <w:rPr>
          <w:rFonts w:ascii="Courier New" w:cs="Courier New" w:eastAsia="Courier New" w:hAnsi="Courier New"/>
          <w:sz w:val="16"/>
          <w:szCs w:val="16"/>
          <w:color w:val="auto"/>
        </w:rPr>
        <w:t>CERTAIN DEFINITIONS</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CERTIFIES THAT</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the owner of</w:t>
      </w:r>
    </w:p>
    <w:p>
      <w:pPr>
        <w:spacing w:after="0" w:line="198"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6"/>
          <w:szCs w:val="16"/>
          <w:color w:val="auto"/>
        </w:rPr>
        <w:t>fully paid and non-assessable shares of the COMMON STOCK, $.01 par value, of</w:t>
      </w:r>
    </w:p>
    <w:p>
      <w:pPr>
        <w:spacing w:after="0" w:line="198"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6"/>
          <w:szCs w:val="16"/>
          <w:color w:val="auto"/>
        </w:rPr>
        <w:t>STEMCELLS, INC.</w:t>
      </w:r>
    </w:p>
    <w:p>
      <w:pPr>
        <w:spacing w:after="0" w:line="198" w:lineRule="exact"/>
        <w:rPr>
          <w:sz w:val="20"/>
          <w:szCs w:val="20"/>
          <w:color w:val="auto"/>
        </w:rPr>
      </w:pPr>
    </w:p>
    <w:p>
      <w:pPr>
        <w:ind w:right="3640"/>
        <w:spacing w:after="0" w:line="253" w:lineRule="auto"/>
        <w:rPr>
          <w:sz w:val="20"/>
          <w:szCs w:val="20"/>
          <w:color w:val="auto"/>
        </w:rPr>
      </w:pPr>
      <w:r>
        <w:rPr>
          <w:rFonts w:ascii="Courier New" w:cs="Courier New" w:eastAsia="Courier New" w:hAnsi="Courier New"/>
          <w:sz w:val="16"/>
          <w:szCs w:val="16"/>
          <w:color w:val="auto"/>
        </w:rPr>
        <w:t>transferable only on the books of the Corporation by the holder hereof in person or by duly authorized attorney upon surrender of this certificate properly endorsed.</w:t>
      </w:r>
    </w:p>
    <w:p>
      <w:pPr>
        <w:spacing w:after="0" w:line="185" w:lineRule="exact"/>
        <w:rPr>
          <w:sz w:val="20"/>
          <w:szCs w:val="20"/>
          <w:color w:val="auto"/>
        </w:rPr>
      </w:pPr>
    </w:p>
    <w:p>
      <w:pPr>
        <w:ind w:right="3740" w:firstLine="591"/>
        <w:spacing w:after="0" w:line="251" w:lineRule="auto"/>
        <w:rPr>
          <w:sz w:val="20"/>
          <w:szCs w:val="20"/>
          <w:color w:val="auto"/>
        </w:rPr>
      </w:pPr>
      <w:r>
        <w:rPr>
          <w:rFonts w:ascii="Courier New" w:cs="Courier New" w:eastAsia="Courier New" w:hAnsi="Courier New"/>
          <w:sz w:val="16"/>
          <w:szCs w:val="16"/>
          <w:color w:val="auto"/>
        </w:rPr>
        <w:t>This certificate and the shares of Common Stock represented hereby are received and held subject to the laws of the State of Delaware and to the Restated Certificate of Incorporation and the Bylaws of the Corporation, all as from time to time amended, and the owner of this certificate by accepting the same expressly assents thereto. This certificate is not valid until countersigned by the Transfer Agent and registered by the Registrar.</w:t>
      </w:r>
    </w:p>
    <w:p>
      <w:pPr>
        <w:spacing w:after="0" w:line="190" w:lineRule="exact"/>
        <w:rPr>
          <w:sz w:val="20"/>
          <w:szCs w:val="20"/>
          <w:color w:val="auto"/>
        </w:rPr>
      </w:pPr>
    </w:p>
    <w:p>
      <w:pPr>
        <w:ind w:right="4120" w:firstLine="591"/>
        <w:spacing w:after="0" w:line="253" w:lineRule="auto"/>
        <w:rPr>
          <w:sz w:val="20"/>
          <w:szCs w:val="20"/>
          <w:color w:val="auto"/>
        </w:rPr>
      </w:pPr>
      <w:r>
        <w:rPr>
          <w:rFonts w:ascii="Courier New" w:cs="Courier New" w:eastAsia="Courier New" w:hAnsi="Courier New"/>
          <w:sz w:val="16"/>
          <w:szCs w:val="16"/>
          <w:color w:val="auto"/>
        </w:rPr>
        <w:t>IN WITNESS WHEREOF, the Corporation has caused this certificate to be signed by the facsimile signatures of its duly authorized officers and a facsimile of its corporate seal to be hereunto affixed.</w:t>
      </w:r>
    </w:p>
    <w:p>
      <w:pPr>
        <w:sectPr>
          <w:pgSz w:w="11900" w:h="16838" w:orient="portrait"/>
          <w:cols w:equalWidth="0" w:num="1">
            <w:col w:w="11520"/>
          </w:cols>
          <w:pgMar w:left="240" w:top="33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STEMCELLS, INC.</w:t>
      </w:r>
    </w:p>
    <w:p>
      <w:pPr>
        <w:spacing w:after="0" w:line="200" w:lineRule="exact"/>
        <w:rPr>
          <w:sz w:val="20"/>
          <w:szCs w:val="20"/>
          <w:color w:val="auto"/>
        </w:rPr>
      </w:pPr>
    </w:p>
    <w:p>
      <w:pPr>
        <w:sectPr>
          <w:pgSz w:w="11900" w:h="16838" w:orient="portrait"/>
          <w:cols w:equalWidth="0" w:num="2">
            <w:col w:w="7960" w:space="720"/>
            <w:col w:w="2840"/>
          </w:cols>
          <w:pgMar w:left="240" w:top="331" w:right="13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COUNTERSIGNED AND REGISTERED:</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EQUISERVE TRUST COMPANY, N.A.</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TRANSFER AGENT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STEMCELLS, INC</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CORPORATE</w:t>
      </w:r>
    </w:p>
    <w:p>
      <w:pPr>
        <w:spacing w:after="0" w:line="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SEAL</w:t>
      </w:r>
    </w:p>
    <w:p>
      <w:pPr>
        <w:spacing w:after="0" w:line="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1988</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DELAWARE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right"/>
        <w:ind w:right="780"/>
        <w:spacing w:after="0"/>
        <w:rPr>
          <w:sz w:val="20"/>
          <w:szCs w:val="20"/>
          <w:color w:val="auto"/>
        </w:rPr>
      </w:pPr>
      <w:r>
        <w:rPr>
          <w:rFonts w:ascii="Courier New" w:cs="Courier New" w:eastAsia="Courier New" w:hAnsi="Courier New"/>
          <w:sz w:val="16"/>
          <w:szCs w:val="16"/>
          <w:color w:val="auto"/>
        </w:rPr>
        <w:t>/s/ Martin M. McGlynn</w:t>
      </w:r>
    </w:p>
    <w:p>
      <w:pPr>
        <w:spacing w:after="0" w:line="19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PRESIDENT AND</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CHIEF EXECUTIVE OFFICER</w:t>
      </w:r>
    </w:p>
    <w:p>
      <w:pPr>
        <w:spacing w:after="0" w:line="197" w:lineRule="exact"/>
        <w:rPr>
          <w:sz w:val="20"/>
          <w:szCs w:val="20"/>
          <w:color w:val="auto"/>
        </w:rPr>
      </w:pPr>
    </w:p>
    <w:p>
      <w:pPr>
        <w:sectPr>
          <w:pgSz w:w="11900" w:h="16838" w:orient="portrait"/>
          <w:cols w:equalWidth="0" w:num="3">
            <w:col w:w="5200" w:space="720"/>
            <w:col w:w="2040" w:space="720"/>
            <w:col w:w="2840"/>
          </w:cols>
          <w:pgMar w:left="240" w:top="331" w:right="139" w:bottom="1440" w:gutter="0" w:footer="0" w:header="0"/>
          <w:type w:val="continuous"/>
        </w:sectPr>
      </w:pPr>
    </w:p>
    <w:p>
      <w:pPr>
        <w:ind w:left="3260"/>
        <w:spacing w:after="0"/>
        <w:rPr>
          <w:sz w:val="20"/>
          <w:szCs w:val="20"/>
          <w:color w:val="auto"/>
        </w:rPr>
      </w:pPr>
      <w:r>
        <w:rPr>
          <w:rFonts w:ascii="Courier New" w:cs="Courier New" w:eastAsia="Courier New" w:hAnsi="Courier New"/>
          <w:sz w:val="16"/>
          <w:szCs w:val="16"/>
          <w:color w:val="auto"/>
        </w:rPr>
        <w:t>AND REGISTRAR</w:t>
      </w:r>
    </w:p>
    <w:p>
      <w:pPr>
        <w:sectPr>
          <w:pgSz w:w="11900" w:h="16838" w:orient="portrait"/>
          <w:cols w:equalWidth="0" w:num="1">
            <w:col w:w="11520"/>
          </w:cols>
          <w:pgMar w:left="240" w:top="331" w:right="1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Stephen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Iris Brest</w:t>
      </w:r>
    </w:p>
    <w:p>
      <w:pPr>
        <w:spacing w:after="0" w:line="198" w:lineRule="exact"/>
        <w:rPr>
          <w:sz w:val="20"/>
          <w:szCs w:val="20"/>
          <w:color w:val="auto"/>
        </w:rPr>
      </w:pPr>
    </w:p>
    <w:p>
      <w:pPr>
        <w:sectPr>
          <w:pgSz w:w="11900" w:h="16838" w:orient="portrait"/>
          <w:cols w:equalWidth="0" w:num="2">
            <w:col w:w="7960" w:space="720"/>
            <w:col w:w="2840"/>
          </w:cols>
          <w:pgMar w:left="240" w:top="331" w:right="139" w:bottom="1440" w:gutter="0" w:footer="0" w:header="0"/>
          <w:type w:val="continuous"/>
        </w:sectPr>
      </w:pPr>
    </w:p>
    <w:p>
      <w:pPr>
        <w:ind w:left="2760"/>
        <w:spacing w:after="0"/>
        <w:rPr>
          <w:sz w:val="20"/>
          <w:szCs w:val="20"/>
          <w:color w:val="auto"/>
        </w:rPr>
      </w:pPr>
      <w:r>
        <w:rPr>
          <w:rFonts w:ascii="Courier New" w:cs="Courier New" w:eastAsia="Courier New" w:hAnsi="Courier New"/>
          <w:sz w:val="16"/>
          <w:szCs w:val="16"/>
          <w:color w:val="auto"/>
        </w:rPr>
        <w:t>AUTHORIZED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SECRETARY AND GENERAL COUNSEL</w:t>
      </w:r>
    </w:p>
    <w:p>
      <w:pPr>
        <w:spacing w:after="0" w:line="200" w:lineRule="exact"/>
        <w:rPr>
          <w:sz w:val="20"/>
          <w:szCs w:val="20"/>
          <w:color w:val="auto"/>
        </w:rPr>
      </w:pPr>
    </w:p>
    <w:p>
      <w:pPr>
        <w:sectPr>
          <w:pgSz w:w="11900" w:h="16838" w:orient="portrait"/>
          <w:cols w:equalWidth="0" w:num="2">
            <w:col w:w="7960" w:space="720"/>
            <w:col w:w="2840"/>
          </w:cols>
          <w:pgMar w:left="240" w:top="331" w:right="139" w:bottom="1440" w:gutter="0" w:footer="0" w:header="0"/>
          <w:type w:val="continuous"/>
        </w:sectPr>
      </w:pPr>
    </w:p>
    <w:p>
      <w:pPr>
        <w:spacing w:after="0" w:line="37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(C) SECURITY-COLUMBIAN UNITED STATES BANKNOTE CORPORATION</w:t>
      </w:r>
    </w:p>
    <w:p>
      <w:pPr>
        <w:sectPr>
          <w:pgSz w:w="11900" w:h="16838" w:orient="portrait"/>
          <w:cols w:equalWidth="0" w:num="1">
            <w:col w:w="11520"/>
          </w:cols>
          <w:pgMar w:left="240" w:top="331" w:right="139" w:bottom="1440" w:gutter="0" w:footer="0" w:header="0"/>
          <w:type w:val="continuous"/>
        </w:sectPr>
      </w:pPr>
    </w:p>
    <w:bookmarkStart w:id="27" w:name="page28"/>
    <w:bookmarkEnd w:id="27"/>
    <w:p>
      <w:pPr>
        <w:ind w:left="3260"/>
        <w:spacing w:after="0"/>
        <w:rPr>
          <w:sz w:val="20"/>
          <w:szCs w:val="20"/>
          <w:color w:val="auto"/>
        </w:rPr>
      </w:pPr>
      <w:r>
        <w:rPr>
          <w:rFonts w:ascii="Courier New" w:cs="Courier New" w:eastAsia="Courier New" w:hAnsi="Courier New"/>
          <w:sz w:val="16"/>
          <w:szCs w:val="16"/>
          <w:color w:val="auto"/>
        </w:rPr>
        <w:t>STEMCELLS, INC.</w:t>
      </w:r>
    </w:p>
    <w:p>
      <w:pPr>
        <w:spacing w:after="0" w:line="198" w:lineRule="exact"/>
        <w:rPr>
          <w:sz w:val="20"/>
          <w:szCs w:val="20"/>
          <w:color w:val="auto"/>
        </w:rPr>
      </w:pPr>
    </w:p>
    <w:p>
      <w:pPr>
        <w:ind w:right="2339" w:firstLine="591"/>
        <w:spacing w:after="0" w:line="251" w:lineRule="auto"/>
        <w:rPr>
          <w:sz w:val="20"/>
          <w:szCs w:val="20"/>
          <w:color w:val="auto"/>
        </w:rPr>
      </w:pPr>
      <w:r>
        <w:rPr>
          <w:rFonts w:ascii="Courier New" w:cs="Courier New" w:eastAsia="Courier New" w:hAnsi="Courier New"/>
          <w:sz w:val="16"/>
          <w:szCs w:val="16"/>
          <w:color w:val="auto"/>
        </w:rPr>
        <w:t>Provisions establishing the preferences, voting powers, qualifications and special and relative rights of the shares of each class or series of authorized stock of the corporation, including the shares represented by this certificate, are set forth in the Certificate of Incorporation of the corporation, as from time to time amended, filed in the office of the Secretary of The State of Delaware, and the corporation will furnish a copy of said provisions to the holder of this certificate upon written request without charge.</w:t>
      </w:r>
    </w:p>
    <w:p>
      <w:pPr>
        <w:spacing w:after="0" w:line="190" w:lineRule="exact"/>
        <w:rPr>
          <w:sz w:val="20"/>
          <w:szCs w:val="20"/>
          <w:color w:val="auto"/>
        </w:rPr>
      </w:pPr>
    </w:p>
    <w:p>
      <w:pPr>
        <w:ind w:right="2519" w:firstLine="591"/>
        <w:spacing w:after="0" w:line="253" w:lineRule="auto"/>
        <w:rPr>
          <w:sz w:val="20"/>
          <w:szCs w:val="20"/>
          <w:color w:val="auto"/>
        </w:rPr>
      </w:pPr>
      <w:r>
        <w:rPr>
          <w:rFonts w:ascii="Courier New" w:cs="Courier New" w:eastAsia="Courier New" w:hAnsi="Courier New"/>
          <w:sz w:val="16"/>
          <w:szCs w:val="16"/>
          <w:color w:val="auto"/>
        </w:rPr>
        <w:t>The following abbreviations, when used in the inscription on the face of this certificate, shall be construed as though they were written out in full according to applicable laws or regulations:</w:t>
      </w:r>
    </w:p>
    <w:p>
      <w:pPr>
        <w:sectPr>
          <w:pgSz w:w="11900" w:h="16838" w:orient="portrait"/>
          <w:cols w:equalWidth="0" w:num="1">
            <w:col w:w="10219"/>
          </w:cols>
          <w:pgMar w:left="240" w:top="496" w:right="1440" w:bottom="43" w:gutter="0" w:footer="0" w:header="0"/>
        </w:sect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 COM - as tenants in 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UNIF GIFT MIN ACT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Custodian</w:t>
      </w:r>
    </w:p>
    <w:p>
      <w:pPr>
        <w:spacing w:after="0" w:line="8" w:lineRule="exact"/>
        <w:rPr>
          <w:sz w:val="20"/>
          <w:szCs w:val="20"/>
          <w:color w:val="auto"/>
        </w:rPr>
      </w:pPr>
    </w:p>
    <w:p>
      <w:pPr>
        <w:sectPr>
          <w:pgSz w:w="11900" w:h="16838" w:orient="portrait"/>
          <w:cols w:equalWidth="0" w:num="3">
            <w:col w:w="3620" w:space="720"/>
            <w:col w:w="1940" w:space="720"/>
            <w:col w:w="3219"/>
          </w:cols>
          <w:pgMar w:left="240" w:top="496" w:right="1440" w:bottom="43" w:gutter="0" w:footer="0" w:header="0"/>
          <w:type w:val="continuous"/>
        </w:sectPr>
      </w:pPr>
    </w:p>
    <w:p>
      <w:pPr>
        <w:ind w:right="1660"/>
        <w:spacing w:after="0" w:line="251" w:lineRule="auto"/>
        <w:rPr>
          <w:sz w:val="20"/>
          <w:szCs w:val="20"/>
          <w:color w:val="auto"/>
        </w:rPr>
      </w:pPr>
      <w:r>
        <w:rPr>
          <w:rFonts w:ascii="Courier New" w:cs="Courier New" w:eastAsia="Courier New" w:hAnsi="Courier New"/>
          <w:sz w:val="16"/>
          <w:szCs w:val="16"/>
          <w:color w:val="auto"/>
        </w:rPr>
        <w:t>TEN ENT - as tenants by the entireties JT TEN - as joint tenants with right of survivorship and not as tenants</w:t>
      </w:r>
    </w:p>
    <w:p>
      <w:pPr>
        <w:spacing w:after="0" w:line="20" w:lineRule="exact"/>
        <w:rPr>
          <w:sz w:val="20"/>
          <w:szCs w:val="20"/>
          <w:color w:val="auto"/>
        </w:rPr>
      </w:pPr>
      <w:r>
        <w:rPr>
          <w:sz w:val="20"/>
          <w:szCs w:val="20"/>
          <w:color w:val="auto"/>
        </w:rPr>
        <w:br w:type="column"/>
      </w:r>
    </w:p>
    <w:p>
      <w:pPr>
        <w:spacing w:after="0"/>
        <w:tabs>
          <w:tab w:leader="none" w:pos="1640" w:val="left"/>
        </w:tabs>
        <w:rPr>
          <w:sz w:val="20"/>
          <w:szCs w:val="20"/>
          <w:color w:val="auto"/>
        </w:rPr>
      </w:pPr>
      <w:r>
        <w:rPr>
          <w:rFonts w:ascii="Courier New" w:cs="Courier New" w:eastAsia="Courier New" w:hAnsi="Courier New"/>
          <w:sz w:val="16"/>
          <w:szCs w:val="16"/>
          <w:color w:val="auto"/>
        </w:rPr>
        <w:t>(Cust)</w:t>
      </w:r>
      <w:r>
        <w:rPr>
          <w:sz w:val="20"/>
          <w:szCs w:val="20"/>
          <w:color w:val="auto"/>
        </w:rPr>
        <w:tab/>
      </w:r>
      <w:r>
        <w:rPr>
          <w:rFonts w:ascii="Courier New" w:cs="Courier New" w:eastAsia="Courier New" w:hAnsi="Courier New"/>
          <w:sz w:val="16"/>
          <w:szCs w:val="16"/>
          <w:color w:val="auto"/>
        </w:rPr>
        <w:t>(Minor)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Uniform Gifts to Minors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w:t>
      </w:r>
    </w:p>
    <w:p>
      <w:pPr>
        <w:spacing w:after="0" w:line="9" w:lineRule="exact"/>
        <w:rPr>
          <w:sz w:val="20"/>
          <w:szCs w:val="20"/>
          <w:color w:val="auto"/>
        </w:rPr>
      </w:pPr>
    </w:p>
    <w:p>
      <w:pPr>
        <w:sectPr>
          <w:pgSz w:w="11900" w:h="16838" w:orient="portrait"/>
          <w:cols w:equalWidth="0" w:num="2">
            <w:col w:w="5600" w:space="720"/>
            <w:col w:w="3899"/>
          </w:cols>
          <w:pgMar w:left="240" w:top="496" w:right="1440" w:bottom="43" w:gutter="0" w:footer="0" w:header="0"/>
          <w:type w:val="continuous"/>
        </w:sectPr>
      </w:pPr>
    </w:p>
    <w:p>
      <w:pPr>
        <w:ind w:left="880"/>
        <w:spacing w:after="0"/>
        <w:rPr>
          <w:sz w:val="20"/>
          <w:szCs w:val="20"/>
          <w:color w:val="auto"/>
        </w:rPr>
      </w:pPr>
      <w:r>
        <w:rPr>
          <w:rFonts w:ascii="Courier New" w:cs="Courier New" w:eastAsia="Courier New" w:hAnsi="Courier New"/>
          <w:sz w:val="16"/>
          <w:szCs w:val="16"/>
          <w:color w:val="auto"/>
        </w:rPr>
        <w:t>in 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(State)</w:t>
      </w:r>
    </w:p>
    <w:p>
      <w:pPr>
        <w:spacing w:after="0" w:line="200" w:lineRule="exact"/>
        <w:rPr>
          <w:sz w:val="20"/>
          <w:szCs w:val="20"/>
          <w:color w:val="auto"/>
        </w:rPr>
      </w:pPr>
    </w:p>
    <w:p>
      <w:pPr>
        <w:sectPr>
          <w:pgSz w:w="11900" w:h="16838" w:orient="portrait"/>
          <w:cols w:equalWidth="0" w:num="2">
            <w:col w:w="6780" w:space="720"/>
            <w:col w:w="2719"/>
          </w:cols>
          <w:pgMar w:left="240" w:top="496" w:right="1440" w:bottom="43" w:gutter="0" w:footer="0" w:header="0"/>
          <w:type w:val="continuous"/>
        </w:sectPr>
      </w:pPr>
    </w:p>
    <w:p>
      <w:pPr>
        <w:spacing w:after="0" w:line="18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Additional abbreviations may also be used though not in the above list.</w:t>
      </w:r>
    </w:p>
    <w:p>
      <w:pPr>
        <w:spacing w:after="0" w:line="198" w:lineRule="exact"/>
        <w:rPr>
          <w:sz w:val="20"/>
          <w:szCs w:val="20"/>
          <w:color w:val="auto"/>
        </w:rPr>
      </w:pPr>
    </w:p>
    <w:p>
      <w:pPr>
        <w:spacing w:after="0"/>
        <w:tabs>
          <w:tab w:leader="none" w:pos="4120" w:val="left"/>
        </w:tabs>
        <w:rPr>
          <w:sz w:val="20"/>
          <w:szCs w:val="20"/>
          <w:color w:val="auto"/>
        </w:rPr>
      </w:pPr>
      <w:r>
        <w:rPr>
          <w:rFonts w:ascii="Courier New" w:cs="Courier New" w:eastAsia="Courier New" w:hAnsi="Courier New"/>
          <w:sz w:val="16"/>
          <w:szCs w:val="16"/>
          <w:color w:val="auto"/>
        </w:rPr>
        <w:t>For value received</w:t>
      </w:r>
      <w:r>
        <w:rPr>
          <w:sz w:val="20"/>
          <w:szCs w:val="20"/>
          <w:color w:val="auto"/>
        </w:rPr>
        <w:tab/>
      </w:r>
      <w:r>
        <w:rPr>
          <w:rFonts w:ascii="Courier New" w:cs="Courier New" w:eastAsia="Courier New" w:hAnsi="Courier New"/>
          <w:sz w:val="16"/>
          <w:szCs w:val="16"/>
          <w:color w:val="auto"/>
        </w:rPr>
        <w:t>hereby sell, assign and transfer unto</w:t>
      </w:r>
    </w:p>
    <w:p>
      <w:pPr>
        <w:spacing w:after="0" w:line="198" w:lineRule="exact"/>
        <w:rPr>
          <w:sz w:val="20"/>
          <w:szCs w:val="20"/>
          <w:color w:val="auto"/>
        </w:rPr>
      </w:pPr>
    </w:p>
    <w:p>
      <w:pPr>
        <w:jc w:val="center"/>
        <w:ind w:right="6479"/>
        <w:spacing w:after="0"/>
        <w:rPr>
          <w:sz w:val="20"/>
          <w:szCs w:val="20"/>
          <w:color w:val="auto"/>
        </w:rPr>
      </w:pPr>
      <w:r>
        <w:rPr>
          <w:rFonts w:ascii="Courier New" w:cs="Courier New" w:eastAsia="Courier New" w:hAnsi="Courier New"/>
          <w:sz w:val="16"/>
          <w:szCs w:val="16"/>
          <w:color w:val="auto"/>
        </w:rPr>
        <w:t>PLEASE INSERT SOCIAL SECURITY OR OTHER</w:t>
      </w:r>
    </w:p>
    <w:p>
      <w:pPr>
        <w:spacing w:after="0" w:line="8" w:lineRule="exact"/>
        <w:rPr>
          <w:sz w:val="20"/>
          <w:szCs w:val="20"/>
          <w:color w:val="auto"/>
        </w:rPr>
      </w:pPr>
    </w:p>
    <w:p>
      <w:pPr>
        <w:jc w:val="center"/>
        <w:ind w:right="6479"/>
        <w:spacing w:after="0"/>
        <w:rPr>
          <w:sz w:val="20"/>
          <w:szCs w:val="20"/>
          <w:color w:val="auto"/>
        </w:rPr>
      </w:pPr>
      <w:r>
        <w:rPr>
          <w:rFonts w:ascii="Courier New" w:cs="Courier New" w:eastAsia="Courier New" w:hAnsi="Courier New"/>
          <w:sz w:val="16"/>
          <w:szCs w:val="16"/>
          <w:color w:val="auto"/>
        </w:rPr>
        <w:t>IDENTIFYING NUMBER OF ASSIGNEE</w:t>
      </w:r>
    </w:p>
    <w:p>
      <w:pPr>
        <w:spacing w:after="0" w:line="198" w:lineRule="exact"/>
        <w:rPr>
          <w:sz w:val="20"/>
          <w:szCs w:val="20"/>
          <w:color w:val="auto"/>
        </w:rPr>
      </w:pPr>
    </w:p>
    <w:p>
      <w:pPr>
        <w:ind w:left="200" w:hanging="199"/>
        <w:spacing w:after="0"/>
        <w:tabs>
          <w:tab w:leader="none" w:pos="2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PRINT OR TYPEWRITE NAME AND ADDRESS INCLUDING POSTAL ZIP CODE OF ASSIGNEE</w:t>
      </w:r>
    </w:p>
    <w:p>
      <w:pPr>
        <w:spacing w:after="0" w:line="197"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7300"/>
        <w:spacing w:after="0"/>
        <w:rPr>
          <w:sz w:val="20"/>
          <w:szCs w:val="20"/>
          <w:color w:val="auto"/>
        </w:rPr>
      </w:pPr>
      <w:r>
        <w:rPr>
          <w:rFonts w:ascii="Courier New" w:cs="Courier New" w:eastAsia="Courier New" w:hAnsi="Courier New"/>
          <w:sz w:val="16"/>
          <w:szCs w:val="16"/>
          <w:color w:val="auto"/>
        </w:rPr>
        <w:t>Shares</w:t>
      </w:r>
    </w:p>
    <w:p>
      <w:pPr>
        <w:spacing w:after="0" w:line="8" w:lineRule="exact"/>
        <w:rPr>
          <w:sz w:val="20"/>
          <w:szCs w:val="20"/>
          <w:color w:val="auto"/>
        </w:rPr>
      </w:pPr>
    </w:p>
    <w:p>
      <w:pPr>
        <w:ind w:left="200" w:hanging="199"/>
        <w:spacing w:after="0"/>
        <w:tabs>
          <w:tab w:leader="none" w:pos="2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right="31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common stock represented by the within Certificate, and do hereby irrevocably constitute and appoint</w:t>
      </w:r>
    </w:p>
    <w:p>
      <w:pPr>
        <w:ind w:left="7100"/>
        <w:spacing w:after="0"/>
        <w:rPr>
          <w:sz w:val="20"/>
          <w:szCs w:val="20"/>
          <w:color w:val="auto"/>
        </w:rPr>
      </w:pPr>
      <w:r>
        <w:rPr>
          <w:rFonts w:ascii="Courier New" w:cs="Courier New" w:eastAsia="Courier New" w:hAnsi="Courier New"/>
          <w:sz w:val="16"/>
          <w:szCs w:val="16"/>
          <w:color w:val="auto"/>
        </w:rPr>
        <w:t>Attorney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right="2719"/>
        <w:spacing w:after="0" w:line="257" w:lineRule="auto"/>
        <w:rPr>
          <w:sz w:val="20"/>
          <w:szCs w:val="20"/>
          <w:color w:val="auto"/>
        </w:rPr>
      </w:pPr>
      <w:r>
        <w:rPr>
          <w:rFonts w:ascii="Courier New" w:cs="Courier New" w:eastAsia="Courier New" w:hAnsi="Courier New"/>
          <w:sz w:val="16"/>
          <w:szCs w:val="16"/>
          <w:color w:val="auto"/>
        </w:rPr>
        <w:t>to transfer the said stock on the books of the within-named Corporation with full power of substitution in the premises. Dated,</w:t>
      </w:r>
    </w:p>
    <w:p>
      <w:pPr>
        <w:spacing w:after="0" w:line="181"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NOTICE: THE SIGNATURE TO THIS</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ASSIGNMENT MUST CORRESPOND WITH THE</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NAME AS WRITTEN UPON THE FACE OF THE</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CERTIFICATE IN EVERY PARTICULAR,</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WITHOUT ALTERATION OR ENLARGEMENT OR</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ANY CHANGE WHATEVER.</w:t>
      </w:r>
    </w:p>
    <w:p>
      <w:pPr>
        <w:spacing w:after="0" w:line="19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Signature(s) Guaranteed: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THE SIGNATURE(S) SHOULD BE GUARANTEED BY AN</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ELIGIBLE GUARANTOR INSTITUTION (BANKS,</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STOCKBROKERS, SAVINGS AND LOAN ASSOCIATIONS AND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CREDIT UNIONS WITH MEMBERSHIP IN AN APPROVED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SIGNATURE GUARANTEE MEDALLION PROGRAM), PURSUANT</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TO S.E.C. RULE 17Ad-15.</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This certificate also evidences and entitles the holder hereof to certain Rights set forth in a Rights Agreement between the issuer and EquiServe Trust Company, N.A., as Rights Agent (the "Rights Agent"), dated as of July 27, 1998 (the "Rights Agreement"), the terms of which are incorporated herein by reference and a copy of which is on file at the principal offices of both the issuer and the Rights Agent. The Rights Agent will mail to the registered holder of this certificate a copy of the Rights Agreement, as in effect on the date of mailing, without charge upon written request. Under certain circumstances set forth in the Rights Agreement, such Rights will be evidenced by separate certificates and will no longer be evidenced by this certificate. Under certain circumstances set forth in the Rights Agreement, Rights issued to, or held by any Person who is, was or becomes, or acquires shares from, an Acquiring Person or any Affiliate of an Acquiring Person (as each such term is defined in the Rights Agreement and generally relating to the ownership or purchase of large shareholdings), whether currently held by or on behalf of such Person or Affiliate or by certain subsequent holders, may become null and void.</w:t>
      </w:r>
    </w:p>
    <w:p>
      <w:pPr>
        <w:sectPr>
          <w:pgSz w:w="11900" w:h="16838" w:orient="portrait"/>
          <w:cols w:equalWidth="0" w:num="1">
            <w:col w:w="10219"/>
          </w:cols>
          <w:pgMar w:left="240" w:top="496" w:right="1440" w:bottom="43" w:gutter="0" w:footer="0" w:header="0"/>
          <w:type w:val="continuous"/>
        </w:sectPr>
      </w:pPr>
    </w:p>
    <w:bookmarkStart w:id="28" w:name="page29"/>
    <w:bookmarkEnd w:id="28"/>
    <w:p>
      <w:pPr>
        <w:spacing w:after="0" w:line="251" w:lineRule="auto"/>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jc w:val="right"/>
        <w:ind w:right="2339"/>
        <w:spacing w:after="0"/>
        <w:rPr>
          <w:sz w:val="20"/>
          <w:szCs w:val="20"/>
          <w:color w:val="auto"/>
        </w:rPr>
      </w:pPr>
      <w:r>
        <w:rPr>
          <w:rFonts w:ascii="Courier New" w:cs="Courier New" w:eastAsia="Courier New" w:hAnsi="Courier New"/>
          <w:sz w:val="16"/>
          <w:szCs w:val="16"/>
          <w:color w:val="auto"/>
        </w:rPr>
        <w:t>EXHIBIT 5.1</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14, 2004</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StemCells,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3155 Porter Drive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Palo Alto, California 94304</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 Registration Statement on Form S-3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This opinion is furnished to you in connection with a registration statement on Form S-3 (the "Registration Statement"), filed today with the Securities and Exchange Commission under the Securities Act of 1933, as amended, for the registration of shares of Common Stock, $.01 par value (the "Common Stock"), of StemCells, Inc., a Delaware corporation (the "Company"), comprising (i) 13,160,000 shares of the Company's Common Stock (the "Issued Shares") and (ii) up to 3,816,400 shares of Common Stock issuable upon the exercise of common stock purchase warrants (the "Warrants"). The shares of Common Stock issuable upon exercise of the Warrants are referred to herein as the "Warrant Shares" and the Warrant Shares, together with the Issued Shares, are referred to collectively as the "Registrable Shares."</w:t>
      </w:r>
    </w:p>
    <w:p>
      <w:pPr>
        <w:spacing w:after="0" w:line="190"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Company originally sold the Issued Shares and the Warrants (other than the Unterberg Warrant described below) pursuant to the Securities Purchase Agreement dated June 16, 2004 (the "Purchase Agreement") among the Company, Alpha Capital AKtinengesellschaft, Basso Equity Opportunity Holding Fund Ltd., Basso Multi-Strategy Holding Fund Ltd., C.E. Unterberg, Towbin Capital Partners I, L.P., Capital Ventures International, Castle Creek Healthcare Partners LLC, Cranshire Capital L.P., Enable Growth Partners L.P., Excalibur Limited Partnership, Greenwich Growth Fund Limited, Gryphon Master Fund, L.P., Heartland Value Plus Fund, Heimdall Investment Ltd., Iroquois Capital LP, JMG Capital Partners, LP, JMG Triton Offshore Fund, Ltd., Mainfield Enterprises Inc., Omicron Master Trust, Portside Growth and Opportunity Fund, RHP Master Fund, Ltd., Richard Friedman, SF Capital Partners Ltd, Smithfield Fiduciary LLC, Solar Group S.A., SRG Capital, LLC, Stephen Rizzone, Stonestreet Limited Partnership, TCMP3 Partners, Truk International Fund, L.P., Truk Opportunity Fund, LLC, UBS O'Connor LLC f/b/o O'Connor PIPES Corporate Strategies Master Ltd., Vicis Capital Master Fund, Victus Capital, LP and Whalehaven Fund Limited. As agent for the private placement pursuant to the Purchase Agreement, C.E. Unterberg, Towbin LLC received a Warrant to purchase 526,400 shares of Common Stock (the "Unterberg Warrant"). We understand the Registrable Shares are being registered to permit the resale of such Common</w:t>
      </w:r>
    </w:p>
    <w:p>
      <w:pPr>
        <w:sectPr>
          <w:pgSz w:w="11900" w:h="16838" w:orient="portrait"/>
          <w:cols w:equalWidth="0" w:num="1">
            <w:col w:w="10219"/>
          </w:cols>
          <w:pgMar w:left="240" w:top="331" w:right="1440" w:bottom="1440" w:gutter="0" w:footer="0" w:header="0"/>
        </w:sectPr>
      </w:pPr>
    </w:p>
    <w:bookmarkStart w:id="30" w:name="page31"/>
    <w:bookmarkEnd w:id="30"/>
    <w:p>
      <w:pPr>
        <w:spacing w:after="0"/>
        <w:tabs>
          <w:tab w:leader="none" w:pos="3620" w:val="left"/>
          <w:tab w:leader="none" w:pos="6580" w:val="left"/>
        </w:tabs>
        <w:rPr>
          <w:sz w:val="20"/>
          <w:szCs w:val="20"/>
          <w:color w:val="auto"/>
        </w:rPr>
      </w:pPr>
      <w:r>
        <w:rPr>
          <w:rFonts w:ascii="Courier New" w:cs="Courier New" w:eastAsia="Courier New" w:hAnsi="Courier New"/>
          <w:sz w:val="16"/>
          <w:szCs w:val="16"/>
          <w:color w:val="auto"/>
        </w:rPr>
        <w:t>StemCells, Inc.</w:t>
      </w:r>
      <w:r>
        <w:rPr>
          <w:sz w:val="20"/>
          <w:szCs w:val="20"/>
          <w:color w:val="auto"/>
        </w:rPr>
        <w:tab/>
      </w:r>
      <w:r>
        <w:rPr>
          <w:rFonts w:ascii="Courier New" w:cs="Courier New" w:eastAsia="Courier New" w:hAnsi="Courier New"/>
          <w:sz w:val="16"/>
          <w:szCs w:val="16"/>
          <w:color w:val="auto"/>
        </w:rPr>
        <w:t>- 2 -</w:t>
      </w:r>
      <w:r>
        <w:rPr>
          <w:sz w:val="20"/>
          <w:szCs w:val="20"/>
          <w:color w:val="auto"/>
        </w:rPr>
        <w:tab/>
      </w:r>
      <w:r>
        <w:rPr>
          <w:rFonts w:ascii="Courier New" w:cs="Courier New" w:eastAsia="Courier New" w:hAnsi="Courier New"/>
          <w:sz w:val="16"/>
          <w:szCs w:val="16"/>
          <w:color w:val="auto"/>
        </w:rPr>
        <w:t>July 14, 2004</w:t>
      </w:r>
    </w:p>
    <w:p>
      <w:pPr>
        <w:spacing w:after="0" w:line="388" w:lineRule="exact"/>
        <w:rPr>
          <w:sz w:val="20"/>
          <w:szCs w:val="20"/>
          <w:color w:val="auto"/>
        </w:rPr>
      </w:pPr>
    </w:p>
    <w:p>
      <w:pPr>
        <w:ind w:right="2519"/>
        <w:spacing w:after="0" w:line="255" w:lineRule="auto"/>
        <w:rPr>
          <w:sz w:val="20"/>
          <w:szCs w:val="20"/>
          <w:color w:val="auto"/>
        </w:rPr>
      </w:pPr>
      <w:r>
        <w:rPr>
          <w:rFonts w:ascii="Courier New" w:cs="Courier New" w:eastAsia="Courier New" w:hAnsi="Courier New"/>
          <w:sz w:val="16"/>
          <w:szCs w:val="16"/>
          <w:color w:val="auto"/>
        </w:rPr>
        <w:t>Stock by the holders thereof from time to time after the effective date of the Registration Statement.</w:t>
      </w:r>
    </w:p>
    <w:p>
      <w:pPr>
        <w:spacing w:after="0" w:line="184"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have acted as counsel for the Company in connection with its issuance and sale of the Issued Shares and Warrants. For purposes of this opinion, we have examined and relied upon such documents, records, certificates, and other instruments as we have deemed necessary. We have assumed that no issuance of the shares issuable upon exercise of the Warrants will result in the issuance by the Company of shares in excess of its authorized Common Stock and that the price received by the Company for such shares will not be less than the par value thereof.</w:t>
      </w:r>
    </w:p>
    <w:p>
      <w:pPr>
        <w:spacing w:after="0" w:line="379" w:lineRule="exact"/>
        <w:rPr>
          <w:sz w:val="20"/>
          <w:szCs w:val="20"/>
          <w:color w:val="auto"/>
        </w:rPr>
      </w:pPr>
    </w:p>
    <w:p>
      <w:pPr>
        <w:ind w:right="2439"/>
        <w:spacing w:after="0" w:line="253" w:lineRule="auto"/>
        <w:rPr>
          <w:sz w:val="20"/>
          <w:szCs w:val="20"/>
          <w:color w:val="auto"/>
        </w:rPr>
      </w:pPr>
      <w:r>
        <w:rPr>
          <w:rFonts w:ascii="Courier New" w:cs="Courier New" w:eastAsia="Courier New" w:hAnsi="Courier New"/>
          <w:sz w:val="16"/>
          <w:szCs w:val="16"/>
          <w:color w:val="auto"/>
        </w:rPr>
        <w:t>We express no opinion as to the applicability of, compliance with, or effect of federal law or the law of any jurisdiction other than the General Corporation Law of the State of Delaware.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 on the foregoing, we are of the opinion that:</w:t>
      </w:r>
    </w:p>
    <w:p>
      <w:pPr>
        <w:spacing w:after="0" w:line="198" w:lineRule="exact"/>
        <w:rPr>
          <w:sz w:val="20"/>
          <w:szCs w:val="20"/>
          <w:color w:val="auto"/>
        </w:rPr>
      </w:pPr>
    </w:p>
    <w:p>
      <w:pPr>
        <w:ind w:right="2439" w:firstLine="593"/>
        <w:spacing w:after="0" w:line="255" w:lineRule="auto"/>
        <w:tabs>
          <w:tab w:leader="none" w:pos="88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Issued Shares are duly authorized, validly issued, fully paid, and non-assessable.</w:t>
      </w:r>
    </w:p>
    <w:p>
      <w:pPr>
        <w:spacing w:after="0" w:line="183" w:lineRule="exact"/>
        <w:rPr>
          <w:rFonts w:ascii="Courier New" w:cs="Courier New" w:eastAsia="Courier New" w:hAnsi="Courier New"/>
          <w:sz w:val="16"/>
          <w:szCs w:val="16"/>
          <w:color w:val="auto"/>
        </w:rPr>
      </w:pPr>
    </w:p>
    <w:p>
      <w:pPr>
        <w:ind w:right="2339" w:firstLine="593"/>
        <w:spacing w:after="0" w:line="252" w:lineRule="auto"/>
        <w:tabs>
          <w:tab w:leader="none" w:pos="88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Warrant Shares have been duly authorized, and when issued out of the Company's duly authorized Common Stock upon exercise of, and pursuant to the provisions of, the Warrants and the Company has received the consideration therefor in accordance with the terms of the Warrants, the Warrant Shares will be validly issued, fully paid, and non-assessable.</w:t>
      </w:r>
    </w:p>
    <w:p>
      <w:pPr>
        <w:spacing w:after="0" w:line="186" w:lineRule="exact"/>
        <w:rPr>
          <w:sz w:val="20"/>
          <w:szCs w:val="20"/>
          <w:color w:val="auto"/>
        </w:rPr>
      </w:pPr>
    </w:p>
    <w:p>
      <w:pPr>
        <w:ind w:right="2339"/>
        <w:spacing w:after="0" w:line="253" w:lineRule="auto"/>
        <w:rPr>
          <w:sz w:val="20"/>
          <w:szCs w:val="20"/>
          <w:color w:val="auto"/>
        </w:rPr>
      </w:pPr>
      <w:r>
        <w:rPr>
          <w:rFonts w:ascii="Courier New" w:cs="Courier New" w:eastAsia="Courier New" w:hAnsi="Courier New"/>
          <w:sz w:val="16"/>
          <w:szCs w:val="16"/>
          <w:color w:val="auto"/>
        </w:rPr>
        <w:t>We hereby consent to your filing this opinion as an exhibit to the Registration Statement and to the use of our name therein and in the related prospectus under the caption "Legal Opinion."</w:t>
      </w:r>
    </w:p>
    <w:p>
      <w:pPr>
        <w:spacing w:after="0" w:line="185" w:lineRule="exact"/>
        <w:rPr>
          <w:sz w:val="20"/>
          <w:szCs w:val="20"/>
          <w:color w:val="auto"/>
        </w:rPr>
      </w:pPr>
    </w:p>
    <w:p>
      <w:pPr>
        <w:ind w:right="2439"/>
        <w:spacing w:after="0" w:line="253" w:lineRule="auto"/>
        <w:rPr>
          <w:sz w:val="20"/>
          <w:szCs w:val="20"/>
          <w:color w:val="auto"/>
        </w:rPr>
      </w:pPr>
      <w:r>
        <w:rPr>
          <w:rFonts w:ascii="Courier New" w:cs="Courier New" w:eastAsia="Courier New" w:hAnsi="Courier New"/>
          <w:sz w:val="16"/>
          <w:szCs w:val="16"/>
          <w:color w:val="auto"/>
        </w:rPr>
        <w:t>It is understood that this opinion is to be used only in connection with the offer and sale of the Registrable Shares while the Registration Statement is in effect.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Very truly yours,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Ropes &amp; Gray LLP</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Ropes &amp; Gray LLP</w:t>
      </w:r>
    </w:p>
    <w:p>
      <w:pPr>
        <w:sectPr>
          <w:pgSz w:w="11900" w:h="16838" w:orient="portrait"/>
          <w:cols w:equalWidth="0" w:num="1">
            <w:col w:w="10219"/>
          </w:cols>
          <w:pgMar w:left="240" w:top="496" w:right="1440" w:bottom="1440" w:gutter="0" w:footer="0" w:header="0"/>
        </w:sectPr>
      </w:pPr>
    </w:p>
    <w:bookmarkStart w:id="31" w:name="page32"/>
    <w:bookmarkEnd w:id="31"/>
    <w:p>
      <w:pPr>
        <w:jc w:val="right"/>
        <w:ind w:right="2339"/>
        <w:spacing w:after="0"/>
        <w:rPr>
          <w:sz w:val="20"/>
          <w:szCs w:val="20"/>
          <w:color w:val="auto"/>
        </w:rPr>
      </w:pPr>
      <w:r>
        <w:rPr>
          <w:rFonts w:ascii="Courier New" w:cs="Courier New" w:eastAsia="Courier New" w:hAnsi="Courier New"/>
          <w:sz w:val="16"/>
          <w:szCs w:val="16"/>
          <w:color w:val="auto"/>
        </w:rPr>
        <w:t>Exhibit 23.1</w:t>
      </w:r>
    </w:p>
    <w:p>
      <w:pPr>
        <w:spacing w:after="0" w:line="19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CONSENT OF ERNST &amp; YOUNG LLP, INDEPENDENT REGISTERED</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PUBLIC ACCOUNTING FIRM</w:t>
      </w:r>
    </w:p>
    <w:p>
      <w:pPr>
        <w:spacing w:after="0" w:line="200" w:lineRule="exact"/>
        <w:rPr>
          <w:sz w:val="20"/>
          <w:szCs w:val="20"/>
          <w:color w:val="auto"/>
        </w:rPr>
      </w:pPr>
    </w:p>
    <w:p>
      <w:pPr>
        <w:spacing w:after="0" w:line="377"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consent to the reference to our firm under the caption "Experts" in the Registration Statement (Form S-3) and related Prospectus of StemCells, Inc. for the registration of 16,976,400 shares of its common stock and to the incorporation by reference therein of our report dated March 4, 2003, except for Note 1 -- Restatement of Consolidated Financial Statements, as to which the date is March 31, 2004, with respect to the 2001 and 2002 consolidated financial statements of StemCells, Inc included in its Annual Report (Form 10-K) for the year ended December 31, 2003, filed with the Securities and Exchange Commission.</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ERNST &amp; YOUNG LLP</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13, 2004</w:t>
      </w:r>
    </w:p>
    <w:p>
      <w:pPr>
        <w:sectPr>
          <w:pgSz w:w="11900" w:h="16838" w:orient="portrait"/>
          <w:cols w:equalWidth="0" w:num="1">
            <w:col w:w="10219"/>
          </w:cols>
          <w:pgMar w:left="240" w:top="331" w:right="1440" w:bottom="1440" w:gutter="0" w:footer="0" w:header="0"/>
        </w:sectPr>
      </w:pPr>
    </w:p>
    <w:bookmarkStart w:id="32" w:name="page33"/>
    <w:bookmarkEnd w:id="32"/>
    <w:p>
      <w:pPr>
        <w:jc w:val="right"/>
        <w:ind w:right="2339"/>
        <w:spacing w:after="0"/>
        <w:rPr>
          <w:sz w:val="20"/>
          <w:szCs w:val="20"/>
          <w:color w:val="auto"/>
        </w:rPr>
      </w:pPr>
      <w:r>
        <w:rPr>
          <w:rFonts w:ascii="Courier New" w:cs="Courier New" w:eastAsia="Courier New" w:hAnsi="Courier New"/>
          <w:sz w:val="16"/>
          <w:szCs w:val="16"/>
          <w:color w:val="auto"/>
        </w:rPr>
        <w:t>Exhibit 23.2</w:t>
      </w:r>
    </w:p>
    <w:p>
      <w:pPr>
        <w:spacing w:after="0" w:line="38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CONSENT OF GRANT THORNTON LLP, INDEPENDENT REGISTERED PUBLIC</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ACCOUNTANTING FIRM</w:t>
      </w:r>
    </w:p>
    <w:p>
      <w:pPr>
        <w:spacing w:after="0" w:line="38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We have issued our reports dated March 26, 2004 accompanying the consolidated financial statements of StemCells, Inc. and subsidiaries appearing in the 2003 Annual Report of the Company to its shareholders and accompanying the schedules included in the Annual Report on Form 10-K for the year ended December 31, 2003, which are incorporated by reference in this Registration Statement. We consent to the incorporation by reference in the Registration Statement of the aforementioned reports and to the use of our name as it appears under the caption "Experts."</w:t>
      </w:r>
    </w:p>
    <w:p>
      <w:pPr>
        <w:spacing w:after="0" w:line="200" w:lineRule="exact"/>
        <w:rPr>
          <w:sz w:val="20"/>
          <w:szCs w:val="20"/>
          <w:color w:val="auto"/>
        </w:rPr>
      </w:pPr>
    </w:p>
    <w:p>
      <w:pPr>
        <w:spacing w:after="0" w:line="369"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/s/</w:t>
        <w:tab/>
        <w:t>Grant Thornton LLP</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Francisco, 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13, 2004</w:t>
      </w:r>
    </w:p>
    <w:sectPr>
      <w:pgSz w:w="11900" w:h="16838" w:orient="portrait"/>
      <w:cols w:equalWidth="0" w:num="1">
        <w:col w:w="10219"/>
      </w:cols>
      <w:pgMar w:left="240" w:top="3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6"/>
    </w:lvl>
  </w:abstractNum>
  <w:abstractNum w:abstractNumId="7">
    <w:nsid w:val="109CF92E"/>
    <w:multiLevelType w:val="hybridMultilevel"/>
    <w:lvl w:ilvl="0">
      <w:lvlJc w:val="left"/>
      <w:lvlText w:val="(%1)"/>
      <w:numFmt w:val="decimal"/>
      <w:start w:val="17"/>
    </w:lvl>
  </w:abstractNum>
  <w:abstractNum w:abstractNumId="8">
    <w:nsid w:val="DED7263"/>
    <w:multiLevelType w:val="hybridMultilevel"/>
    <w:lvl w:ilvl="0">
      <w:lvlJc w:val="left"/>
      <w:lvlText w:val="(%1)"/>
      <w:numFmt w:val="decimal"/>
      <w:start w:val="22"/>
    </w:lvl>
  </w:abstractNum>
  <w:abstractNum w:abstractNumId="9">
    <w:nsid w:val="7FDCC233"/>
    <w:multiLevelType w:val="hybridMultilevel"/>
    <w:lvl w:ilvl="0">
      <w:lvlJc w:val="left"/>
      <w:lvlText w:val="(*)"/>
      <w:numFmt w:val="bullet"/>
      <w:start w:val="1"/>
    </w:lvl>
    <w:lvl w:ilvl="1">
      <w:lvlJc w:val="left"/>
      <w:lvlText w:val="(%2)"/>
      <w:numFmt w:val="decimal"/>
      <w:start w:val="34"/>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14">
    <w:nsid w:val="25E45D32"/>
    <w:multiLevelType w:val="hybridMultilevel"/>
    <w:lvl w:ilvl="0">
      <w:lvlJc w:val="left"/>
      <w:lvlText w:val="(%1)"/>
      <w:numFmt w:val="decimal"/>
      <w:start w:val="2"/>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2019-12-13T21:00:04Z</dcterms:created>
  <dcterms:modified xsi:type="dcterms:W3CDTF">2019-12-13T21:00:04Z</dcterms:modified>
</cp:coreProperties>
</file>